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B2EF3B" w14:textId="77777777" w:rsidR="00F94936" w:rsidRPr="00231547" w:rsidRDefault="00F94936" w:rsidP="00B12D2F">
      <w:pPr>
        <w:tabs>
          <w:tab w:val="left" w:pos="720"/>
        </w:tabs>
        <w:spacing w:after="0"/>
        <w:jc w:val="right"/>
        <w:rPr>
          <w:rFonts w:asciiTheme="majorHAnsi" w:eastAsia="Times New Roman" w:hAnsiTheme="majorHAnsi" w:cstheme="majorHAnsi"/>
          <w:bCs/>
          <w:sz w:val="24"/>
          <w:szCs w:val="24"/>
          <w:lang w:val="ro-MD"/>
        </w:rPr>
      </w:pPr>
      <w:bookmarkStart w:id="0" w:name="_GoBack"/>
      <w:bookmarkEnd w:id="0"/>
      <w:r w:rsidRPr="00231547">
        <w:rPr>
          <w:rFonts w:asciiTheme="majorHAnsi" w:eastAsia="Times New Roman" w:hAnsiTheme="majorHAnsi" w:cstheme="majorHAnsi"/>
          <w:bCs/>
          <w:sz w:val="24"/>
          <w:szCs w:val="24"/>
          <w:lang w:val="ro-MD"/>
        </w:rPr>
        <w:t xml:space="preserve">Anexă </w:t>
      </w:r>
    </w:p>
    <w:p w14:paraId="78909474" w14:textId="77777777" w:rsidR="00F94936" w:rsidRPr="00231547" w:rsidRDefault="00F94936" w:rsidP="00B12D2F">
      <w:pPr>
        <w:tabs>
          <w:tab w:val="left" w:pos="720"/>
        </w:tabs>
        <w:spacing w:after="0"/>
        <w:jc w:val="right"/>
        <w:rPr>
          <w:rFonts w:asciiTheme="majorHAnsi" w:eastAsia="Times New Roman" w:hAnsiTheme="majorHAnsi" w:cstheme="majorHAnsi"/>
          <w:bCs/>
          <w:sz w:val="24"/>
          <w:szCs w:val="24"/>
          <w:lang w:val="ro-MD"/>
        </w:rPr>
      </w:pPr>
      <w:r w:rsidRPr="00231547">
        <w:rPr>
          <w:rFonts w:asciiTheme="majorHAnsi" w:eastAsia="Times New Roman" w:hAnsiTheme="majorHAnsi" w:cstheme="majorHAnsi"/>
          <w:bCs/>
          <w:sz w:val="24"/>
          <w:szCs w:val="24"/>
          <w:lang w:val="ro-MD"/>
        </w:rPr>
        <w:t xml:space="preserve">la Hotărârea Curții de Conturi </w:t>
      </w:r>
    </w:p>
    <w:p w14:paraId="5D9C273E" w14:textId="3860B67D" w:rsidR="00F94936" w:rsidRPr="00231547" w:rsidRDefault="00F94936" w:rsidP="00B12D2F">
      <w:pPr>
        <w:tabs>
          <w:tab w:val="left" w:pos="720"/>
        </w:tabs>
        <w:spacing w:after="0"/>
        <w:jc w:val="right"/>
        <w:rPr>
          <w:rFonts w:asciiTheme="majorHAnsi" w:eastAsia="Times New Roman" w:hAnsiTheme="majorHAnsi" w:cstheme="majorHAnsi"/>
          <w:bCs/>
          <w:sz w:val="24"/>
          <w:szCs w:val="24"/>
          <w:lang w:val="ro-MD"/>
        </w:rPr>
      </w:pPr>
      <w:r w:rsidRPr="00231547">
        <w:rPr>
          <w:rFonts w:asciiTheme="majorHAnsi" w:eastAsia="Times New Roman" w:hAnsiTheme="majorHAnsi" w:cstheme="majorHAnsi"/>
          <w:bCs/>
          <w:sz w:val="24"/>
          <w:szCs w:val="24"/>
          <w:lang w:val="ro-MD"/>
        </w:rPr>
        <w:t xml:space="preserve"> nr.</w:t>
      </w:r>
      <w:r w:rsidR="00A312BC" w:rsidRPr="00231547">
        <w:rPr>
          <w:rFonts w:asciiTheme="majorHAnsi" w:eastAsia="Times New Roman" w:hAnsiTheme="majorHAnsi" w:cstheme="majorHAnsi"/>
          <w:bCs/>
          <w:sz w:val="24"/>
          <w:szCs w:val="24"/>
          <w:lang w:val="ro-MD"/>
        </w:rPr>
        <w:t xml:space="preserve"> 21</w:t>
      </w:r>
      <w:r w:rsidRPr="00231547">
        <w:rPr>
          <w:rFonts w:asciiTheme="majorHAnsi" w:eastAsia="Times New Roman" w:hAnsiTheme="majorHAnsi" w:cstheme="majorHAnsi"/>
          <w:bCs/>
          <w:sz w:val="24"/>
          <w:szCs w:val="24"/>
          <w:lang w:val="ro-MD"/>
        </w:rPr>
        <w:t xml:space="preserve"> din</w:t>
      </w:r>
      <w:r w:rsidR="00A312BC" w:rsidRPr="00231547">
        <w:rPr>
          <w:rFonts w:asciiTheme="majorHAnsi" w:eastAsia="Times New Roman" w:hAnsiTheme="majorHAnsi" w:cstheme="majorHAnsi"/>
          <w:bCs/>
          <w:sz w:val="24"/>
          <w:szCs w:val="24"/>
          <w:lang w:val="ro-MD"/>
        </w:rPr>
        <w:t xml:space="preserve"> 3 iunie</w:t>
      </w:r>
      <w:r w:rsidRPr="00231547">
        <w:rPr>
          <w:rFonts w:asciiTheme="majorHAnsi" w:eastAsia="Times New Roman" w:hAnsiTheme="majorHAnsi" w:cstheme="majorHAnsi"/>
          <w:bCs/>
          <w:sz w:val="24"/>
          <w:szCs w:val="24"/>
          <w:lang w:val="ro-MD"/>
        </w:rPr>
        <w:t xml:space="preserve"> 2021</w:t>
      </w:r>
    </w:p>
    <w:p w14:paraId="4A9A4E2A" w14:textId="77777777" w:rsidR="00F94936" w:rsidRPr="00231547" w:rsidRDefault="00F94936" w:rsidP="00B12D2F">
      <w:pPr>
        <w:spacing w:after="0"/>
        <w:rPr>
          <w:rFonts w:asciiTheme="majorHAnsi" w:hAnsiTheme="majorHAnsi" w:cstheme="majorHAnsi"/>
          <w:sz w:val="24"/>
          <w:szCs w:val="24"/>
          <w:lang w:val="ro-MD"/>
        </w:rPr>
      </w:pPr>
    </w:p>
    <w:p w14:paraId="1CB57687" w14:textId="77777777" w:rsidR="00F94936" w:rsidRPr="00231547" w:rsidRDefault="00F94936" w:rsidP="00B12D2F">
      <w:pPr>
        <w:spacing w:after="0"/>
        <w:jc w:val="center"/>
        <w:rPr>
          <w:rFonts w:asciiTheme="majorHAnsi" w:hAnsiTheme="majorHAnsi" w:cstheme="majorHAnsi"/>
          <w:b/>
          <w:sz w:val="24"/>
          <w:szCs w:val="24"/>
          <w:lang w:val="ro-MD"/>
        </w:rPr>
      </w:pPr>
      <w:bookmarkStart w:id="1" w:name="_Toc468866344"/>
    </w:p>
    <w:p w14:paraId="7890E7A4" w14:textId="77777777" w:rsidR="00F94936" w:rsidRPr="00231547" w:rsidRDefault="00F94936" w:rsidP="00B12D2F">
      <w:pPr>
        <w:spacing w:after="0"/>
        <w:jc w:val="center"/>
        <w:rPr>
          <w:rFonts w:asciiTheme="majorHAnsi" w:hAnsiTheme="majorHAnsi" w:cstheme="majorHAnsi"/>
          <w:b/>
          <w:sz w:val="24"/>
          <w:szCs w:val="24"/>
          <w:lang w:val="ro-MD"/>
        </w:rPr>
      </w:pPr>
      <w:r w:rsidRPr="00231547">
        <w:rPr>
          <w:rFonts w:asciiTheme="majorHAnsi" w:hAnsiTheme="majorHAnsi" w:cstheme="majorHAnsi"/>
          <w:b/>
          <w:noProof/>
          <w:sz w:val="24"/>
          <w:szCs w:val="24"/>
        </w:rPr>
        <w:drawing>
          <wp:inline distT="0" distB="0" distL="0" distR="0" wp14:anchorId="0CE09273" wp14:editId="1E5EF117">
            <wp:extent cx="1377950" cy="138366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7950" cy="1383665"/>
                    </a:xfrm>
                    <a:prstGeom prst="rect">
                      <a:avLst/>
                    </a:prstGeom>
                    <a:noFill/>
                  </pic:spPr>
                </pic:pic>
              </a:graphicData>
            </a:graphic>
          </wp:inline>
        </w:drawing>
      </w:r>
    </w:p>
    <w:p w14:paraId="6A136D2C" w14:textId="77777777" w:rsidR="00F94936" w:rsidRPr="00231547" w:rsidRDefault="00F94936" w:rsidP="00B12D2F">
      <w:pPr>
        <w:spacing w:after="0"/>
        <w:jc w:val="center"/>
        <w:rPr>
          <w:rFonts w:asciiTheme="majorHAnsi" w:hAnsiTheme="majorHAnsi" w:cstheme="majorHAnsi"/>
          <w:b/>
          <w:sz w:val="24"/>
          <w:szCs w:val="24"/>
          <w:lang w:val="ro-MD"/>
        </w:rPr>
      </w:pPr>
    </w:p>
    <w:p w14:paraId="06500EB9" w14:textId="77777777" w:rsidR="00F94936" w:rsidRPr="00231547" w:rsidRDefault="00F94936" w:rsidP="00B12D2F">
      <w:pPr>
        <w:spacing w:after="0"/>
        <w:jc w:val="center"/>
        <w:rPr>
          <w:rFonts w:asciiTheme="majorHAnsi" w:hAnsiTheme="majorHAnsi" w:cstheme="majorHAnsi"/>
          <w:b/>
          <w:sz w:val="24"/>
          <w:szCs w:val="24"/>
          <w:lang w:val="ro-MD"/>
        </w:rPr>
      </w:pPr>
    </w:p>
    <w:p w14:paraId="48518B99" w14:textId="77777777" w:rsidR="00F94936" w:rsidRPr="00231547" w:rsidRDefault="00F94936" w:rsidP="00B12D2F">
      <w:pPr>
        <w:tabs>
          <w:tab w:val="left" w:pos="720"/>
        </w:tabs>
        <w:spacing w:after="0"/>
        <w:jc w:val="right"/>
        <w:rPr>
          <w:rFonts w:asciiTheme="majorHAnsi" w:eastAsia="Times New Roman" w:hAnsiTheme="majorHAnsi" w:cstheme="majorHAnsi"/>
          <w:bCs/>
          <w:sz w:val="24"/>
          <w:szCs w:val="24"/>
          <w:lang w:val="ro-MD"/>
        </w:rPr>
      </w:pPr>
    </w:p>
    <w:p w14:paraId="7B6555DA" w14:textId="77777777" w:rsidR="00F94936" w:rsidRPr="00231547" w:rsidRDefault="00F94936" w:rsidP="00B12D2F">
      <w:pPr>
        <w:spacing w:after="0"/>
        <w:jc w:val="center"/>
        <w:rPr>
          <w:rFonts w:asciiTheme="majorHAnsi" w:hAnsiTheme="majorHAnsi" w:cstheme="majorHAnsi"/>
          <w:b/>
          <w:sz w:val="24"/>
          <w:szCs w:val="24"/>
          <w:lang w:val="ro-MD"/>
        </w:rPr>
      </w:pPr>
      <w:r w:rsidRPr="00231547">
        <w:rPr>
          <w:rFonts w:asciiTheme="majorHAnsi" w:hAnsiTheme="majorHAnsi" w:cstheme="majorHAnsi"/>
          <w:b/>
          <w:sz w:val="24"/>
          <w:szCs w:val="24"/>
          <w:lang w:val="ro-MD"/>
        </w:rPr>
        <w:t>CURTEA DE CONTURI A REPUBLICII MOLDOVA</w:t>
      </w:r>
    </w:p>
    <w:p w14:paraId="799B9443" w14:textId="77777777" w:rsidR="00F94936" w:rsidRPr="00231547" w:rsidRDefault="00F94936" w:rsidP="00B12D2F">
      <w:pPr>
        <w:spacing w:after="0"/>
        <w:rPr>
          <w:rFonts w:asciiTheme="majorHAnsi" w:hAnsiTheme="majorHAnsi" w:cstheme="majorHAnsi"/>
          <w:sz w:val="24"/>
          <w:szCs w:val="24"/>
          <w:lang w:val="ro-MD"/>
        </w:rPr>
      </w:pPr>
    </w:p>
    <w:p w14:paraId="6093C925" w14:textId="77777777" w:rsidR="00F94936" w:rsidRPr="00231547" w:rsidRDefault="00F94936" w:rsidP="00B12D2F">
      <w:pPr>
        <w:tabs>
          <w:tab w:val="left" w:pos="720"/>
        </w:tabs>
        <w:spacing w:after="0"/>
        <w:jc w:val="right"/>
        <w:rPr>
          <w:rFonts w:asciiTheme="majorHAnsi" w:eastAsia="Times New Roman" w:hAnsiTheme="majorHAnsi" w:cstheme="majorHAnsi"/>
          <w:b/>
          <w:bCs/>
          <w:sz w:val="24"/>
          <w:szCs w:val="24"/>
          <w:lang w:val="ro-MD"/>
        </w:rPr>
      </w:pPr>
    </w:p>
    <w:p w14:paraId="2098858E" w14:textId="77777777" w:rsidR="00F94936" w:rsidRPr="00231547" w:rsidRDefault="00F94936" w:rsidP="00B12D2F">
      <w:pPr>
        <w:tabs>
          <w:tab w:val="left" w:pos="720"/>
        </w:tabs>
        <w:spacing w:after="0"/>
        <w:jc w:val="right"/>
        <w:rPr>
          <w:rFonts w:asciiTheme="majorHAnsi" w:eastAsia="Times New Roman" w:hAnsiTheme="majorHAnsi" w:cstheme="majorHAnsi"/>
          <w:b/>
          <w:bCs/>
          <w:sz w:val="24"/>
          <w:szCs w:val="24"/>
          <w:lang w:val="ro-MD"/>
        </w:rPr>
      </w:pPr>
    </w:p>
    <w:tbl>
      <w:tblPr>
        <w:tblW w:w="0" w:type="auto"/>
        <w:tblBorders>
          <w:top w:val="thinThickSmallGap" w:sz="12" w:space="0" w:color="auto"/>
          <w:bottom w:val="thickThinSmallGap" w:sz="12" w:space="0" w:color="auto"/>
        </w:tblBorders>
        <w:tblLook w:val="04A0" w:firstRow="1" w:lastRow="0" w:firstColumn="1" w:lastColumn="0" w:noHBand="0" w:noVBand="1"/>
      </w:tblPr>
      <w:tblGrid>
        <w:gridCol w:w="9270"/>
      </w:tblGrid>
      <w:tr w:rsidR="00F94936" w:rsidRPr="00231547" w14:paraId="360998D0" w14:textId="77777777" w:rsidTr="000D19DB">
        <w:trPr>
          <w:trHeight w:val="435"/>
        </w:trPr>
        <w:tc>
          <w:tcPr>
            <w:tcW w:w="9350" w:type="dxa"/>
          </w:tcPr>
          <w:p w14:paraId="16486EC2" w14:textId="77777777" w:rsidR="00F94936" w:rsidRPr="00231547" w:rsidRDefault="00F94936" w:rsidP="00B12D2F">
            <w:pPr>
              <w:tabs>
                <w:tab w:val="left" w:pos="720"/>
              </w:tabs>
              <w:jc w:val="center"/>
              <w:rPr>
                <w:rFonts w:asciiTheme="majorHAnsi" w:hAnsiTheme="majorHAnsi" w:cstheme="majorHAnsi"/>
                <w:sz w:val="24"/>
                <w:szCs w:val="24"/>
                <w:lang w:val="ro-MD"/>
              </w:rPr>
            </w:pPr>
            <w:r w:rsidRPr="00231547">
              <w:rPr>
                <w:rFonts w:asciiTheme="majorHAnsi" w:hAnsiTheme="majorHAnsi" w:cstheme="majorHAnsi"/>
                <w:sz w:val="24"/>
                <w:szCs w:val="24"/>
                <w:lang w:val="ro-MD"/>
              </w:rPr>
              <w:t xml:space="preserve">MD-2001, mun. Chișinău, bd. Ștefan cel Mare și Sfânt nr.69, tel.: (+373) 22 23 25 79, fax: (+373) 22 23 30 20, </w:t>
            </w:r>
          </w:p>
          <w:p w14:paraId="73CDB79B" w14:textId="77777777" w:rsidR="00F94936" w:rsidRPr="00231547" w:rsidRDefault="004E0F34" w:rsidP="00B12D2F">
            <w:pPr>
              <w:tabs>
                <w:tab w:val="left" w:pos="720"/>
              </w:tabs>
              <w:jc w:val="center"/>
              <w:rPr>
                <w:rFonts w:asciiTheme="majorHAnsi" w:eastAsia="Times New Roman" w:hAnsiTheme="majorHAnsi" w:cstheme="majorHAnsi"/>
                <w:b/>
                <w:bCs/>
                <w:sz w:val="24"/>
                <w:szCs w:val="24"/>
                <w:lang w:val="ro-MD"/>
              </w:rPr>
            </w:pPr>
            <w:hyperlink r:id="rId9" w:history="1">
              <w:r w:rsidR="00F94936" w:rsidRPr="00231547">
                <w:rPr>
                  <w:rStyle w:val="Hyperlink"/>
                  <w:rFonts w:asciiTheme="majorHAnsi" w:hAnsiTheme="majorHAnsi" w:cstheme="majorHAnsi"/>
                  <w:b/>
                  <w:color w:val="auto"/>
                  <w:sz w:val="24"/>
                  <w:szCs w:val="24"/>
                  <w:lang w:val="ro-MD"/>
                </w:rPr>
                <w:t>www.ccrm.md</w:t>
              </w:r>
            </w:hyperlink>
            <w:r w:rsidR="00F94936" w:rsidRPr="00231547">
              <w:rPr>
                <w:rStyle w:val="Hyperlink"/>
                <w:rFonts w:asciiTheme="majorHAnsi" w:hAnsiTheme="majorHAnsi" w:cstheme="majorHAnsi"/>
                <w:b/>
                <w:color w:val="auto"/>
                <w:sz w:val="24"/>
                <w:szCs w:val="24"/>
                <w:lang w:val="ro-MD"/>
              </w:rPr>
              <w:t xml:space="preserve">; </w:t>
            </w:r>
            <w:r w:rsidR="00F94936" w:rsidRPr="00231547">
              <w:rPr>
                <w:rFonts w:asciiTheme="majorHAnsi" w:hAnsiTheme="majorHAnsi" w:cstheme="majorHAnsi"/>
                <w:sz w:val="24"/>
                <w:szCs w:val="24"/>
                <w:lang w:val="ro-MD"/>
              </w:rPr>
              <w:t xml:space="preserve">e-mail: </w:t>
            </w:r>
            <w:hyperlink r:id="rId10" w:history="1">
              <w:r w:rsidR="00F94936" w:rsidRPr="00231547">
                <w:rPr>
                  <w:rStyle w:val="Hyperlink"/>
                  <w:rFonts w:asciiTheme="majorHAnsi" w:hAnsiTheme="majorHAnsi" w:cstheme="majorHAnsi"/>
                  <w:b/>
                  <w:color w:val="auto"/>
                  <w:sz w:val="24"/>
                  <w:szCs w:val="24"/>
                  <w:lang w:val="ro-MD"/>
                </w:rPr>
                <w:t>ccrm@ccrm.md</w:t>
              </w:r>
            </w:hyperlink>
          </w:p>
        </w:tc>
      </w:tr>
    </w:tbl>
    <w:p w14:paraId="293845CC" w14:textId="77777777" w:rsidR="00F94936" w:rsidRPr="00231547" w:rsidRDefault="00F94936" w:rsidP="00B12D2F">
      <w:pPr>
        <w:tabs>
          <w:tab w:val="left" w:pos="720"/>
        </w:tabs>
        <w:spacing w:after="0"/>
        <w:jc w:val="right"/>
        <w:rPr>
          <w:rFonts w:asciiTheme="majorHAnsi" w:eastAsia="Times New Roman" w:hAnsiTheme="majorHAnsi" w:cstheme="majorHAnsi"/>
          <w:b/>
          <w:bCs/>
          <w:sz w:val="24"/>
          <w:szCs w:val="24"/>
          <w:lang w:val="ro-MD"/>
        </w:rPr>
      </w:pPr>
    </w:p>
    <w:p w14:paraId="6EDA5B9A" w14:textId="77777777" w:rsidR="00F94936" w:rsidRPr="00231547" w:rsidRDefault="00F94936" w:rsidP="00B12D2F">
      <w:pPr>
        <w:tabs>
          <w:tab w:val="left" w:pos="720"/>
        </w:tabs>
        <w:spacing w:after="0"/>
        <w:ind w:firstLine="720"/>
        <w:jc w:val="center"/>
        <w:rPr>
          <w:rFonts w:asciiTheme="majorHAnsi" w:eastAsia="Times New Roman" w:hAnsiTheme="majorHAnsi" w:cstheme="majorHAnsi"/>
          <w:b/>
          <w:bCs/>
          <w:sz w:val="24"/>
          <w:szCs w:val="24"/>
          <w:lang w:val="ro-MD"/>
        </w:rPr>
      </w:pPr>
    </w:p>
    <w:p w14:paraId="49F92180" w14:textId="77777777" w:rsidR="00F94936" w:rsidRPr="00231547" w:rsidRDefault="00F94936" w:rsidP="00B12D2F">
      <w:pPr>
        <w:tabs>
          <w:tab w:val="left" w:pos="720"/>
        </w:tabs>
        <w:spacing w:after="0"/>
        <w:ind w:firstLine="720"/>
        <w:jc w:val="center"/>
        <w:rPr>
          <w:rFonts w:asciiTheme="majorHAnsi" w:eastAsia="Times New Roman" w:hAnsiTheme="majorHAnsi" w:cstheme="majorHAnsi"/>
          <w:b/>
          <w:bCs/>
          <w:sz w:val="24"/>
          <w:szCs w:val="24"/>
          <w:lang w:val="ro-MD"/>
        </w:rPr>
      </w:pPr>
      <w:r w:rsidRPr="00231547">
        <w:rPr>
          <w:rFonts w:asciiTheme="majorHAnsi" w:eastAsia="Times New Roman" w:hAnsiTheme="majorHAnsi" w:cstheme="majorHAnsi"/>
          <w:b/>
          <w:bCs/>
          <w:sz w:val="24"/>
          <w:szCs w:val="24"/>
          <w:lang w:val="ro-MD"/>
        </w:rPr>
        <w:t>RAPORTUL</w:t>
      </w:r>
    </w:p>
    <w:p w14:paraId="7586FD65" w14:textId="77777777" w:rsidR="00F94936" w:rsidRPr="00231547" w:rsidRDefault="00F94936" w:rsidP="00B12D2F">
      <w:pPr>
        <w:tabs>
          <w:tab w:val="left" w:pos="720"/>
        </w:tabs>
        <w:spacing w:after="0"/>
        <w:ind w:firstLine="720"/>
        <w:jc w:val="center"/>
        <w:rPr>
          <w:rFonts w:asciiTheme="majorHAnsi" w:eastAsia="Times New Roman" w:hAnsiTheme="majorHAnsi" w:cstheme="majorHAnsi"/>
          <w:b/>
          <w:bCs/>
          <w:sz w:val="24"/>
          <w:szCs w:val="24"/>
          <w:lang w:val="ro-MD"/>
        </w:rPr>
      </w:pPr>
    </w:p>
    <w:p w14:paraId="56B3F9FC" w14:textId="77777777" w:rsidR="00F94936" w:rsidRPr="00231547" w:rsidRDefault="00F94936" w:rsidP="00B12D2F">
      <w:pPr>
        <w:spacing w:after="0"/>
        <w:jc w:val="center"/>
        <w:rPr>
          <w:rFonts w:asciiTheme="majorHAnsi" w:eastAsia="Times New Roman" w:hAnsiTheme="majorHAnsi" w:cstheme="majorHAnsi"/>
          <w:b/>
          <w:bCs/>
          <w:sz w:val="24"/>
          <w:szCs w:val="24"/>
          <w:lang w:val="ro-MD"/>
        </w:rPr>
      </w:pPr>
      <w:r w:rsidRPr="00231547">
        <w:rPr>
          <w:rFonts w:asciiTheme="majorHAnsi" w:eastAsia="Times New Roman" w:hAnsiTheme="majorHAnsi" w:cstheme="majorHAnsi"/>
          <w:b/>
          <w:bCs/>
          <w:sz w:val="24"/>
          <w:szCs w:val="24"/>
          <w:lang w:val="ro-MD"/>
        </w:rPr>
        <w:t>auditului asupra rapoartelor financiare consolidate ale Ministerului Afacerilor Externe și Integrării Europene încheiate la 31 decembrie 2020</w:t>
      </w:r>
    </w:p>
    <w:p w14:paraId="518A20C5" w14:textId="77777777" w:rsidR="00F94936" w:rsidRPr="00231547" w:rsidRDefault="00F94936" w:rsidP="00B12D2F">
      <w:pPr>
        <w:spacing w:after="0"/>
        <w:jc w:val="center"/>
        <w:rPr>
          <w:rFonts w:asciiTheme="majorHAnsi" w:eastAsia="Times New Roman" w:hAnsiTheme="majorHAnsi" w:cstheme="majorHAnsi"/>
          <w:b/>
          <w:bCs/>
          <w:sz w:val="24"/>
          <w:szCs w:val="24"/>
          <w:lang w:val="ro-MD"/>
        </w:rPr>
      </w:pPr>
    </w:p>
    <w:p w14:paraId="3B1818CF" w14:textId="77777777" w:rsidR="00F94936" w:rsidRPr="00231547" w:rsidRDefault="00F94936" w:rsidP="00B12D2F">
      <w:pPr>
        <w:spacing w:after="0"/>
        <w:jc w:val="center"/>
        <w:rPr>
          <w:rFonts w:asciiTheme="majorHAnsi" w:eastAsia="Times New Roman" w:hAnsiTheme="majorHAnsi" w:cstheme="majorHAnsi"/>
          <w:b/>
          <w:bCs/>
          <w:sz w:val="24"/>
          <w:szCs w:val="24"/>
          <w:lang w:val="ro-MD"/>
        </w:rPr>
      </w:pPr>
    </w:p>
    <w:p w14:paraId="267C7E9D" w14:textId="77777777" w:rsidR="00F94936" w:rsidRPr="00231547" w:rsidRDefault="00F94936" w:rsidP="00B12D2F">
      <w:pPr>
        <w:spacing w:after="0"/>
        <w:jc w:val="center"/>
        <w:rPr>
          <w:rFonts w:asciiTheme="majorHAnsi" w:eastAsia="Times New Roman" w:hAnsiTheme="majorHAnsi" w:cstheme="majorHAnsi"/>
          <w:b/>
          <w:bCs/>
          <w:sz w:val="24"/>
          <w:szCs w:val="24"/>
          <w:lang w:val="ro-MD"/>
        </w:rPr>
      </w:pPr>
    </w:p>
    <w:p w14:paraId="11121678" w14:textId="77777777" w:rsidR="00F94936" w:rsidRPr="00231547" w:rsidRDefault="00F94936" w:rsidP="00B12D2F">
      <w:pPr>
        <w:spacing w:after="0"/>
        <w:jc w:val="center"/>
        <w:rPr>
          <w:rFonts w:asciiTheme="majorHAnsi" w:eastAsia="Times New Roman" w:hAnsiTheme="majorHAnsi" w:cstheme="majorHAnsi"/>
          <w:b/>
          <w:bCs/>
          <w:sz w:val="24"/>
          <w:szCs w:val="24"/>
          <w:lang w:val="ro-MD"/>
        </w:rPr>
      </w:pPr>
    </w:p>
    <w:p w14:paraId="7DF4AD5E" w14:textId="77777777" w:rsidR="00F94936" w:rsidRPr="00231547" w:rsidRDefault="00F94936" w:rsidP="00B12D2F">
      <w:pPr>
        <w:spacing w:after="0"/>
        <w:jc w:val="center"/>
        <w:rPr>
          <w:rFonts w:asciiTheme="majorHAnsi" w:eastAsia="Times New Roman" w:hAnsiTheme="majorHAnsi" w:cstheme="majorHAnsi"/>
          <w:b/>
          <w:bCs/>
          <w:sz w:val="24"/>
          <w:szCs w:val="24"/>
          <w:lang w:val="ro-MD"/>
        </w:rPr>
      </w:pPr>
    </w:p>
    <w:p w14:paraId="2EABDCB2" w14:textId="77777777" w:rsidR="00F94936" w:rsidRPr="00231547" w:rsidRDefault="00F94936" w:rsidP="00B12D2F">
      <w:pPr>
        <w:spacing w:after="0"/>
        <w:jc w:val="center"/>
        <w:rPr>
          <w:rFonts w:asciiTheme="majorHAnsi" w:eastAsia="Times New Roman" w:hAnsiTheme="majorHAnsi" w:cstheme="majorHAnsi"/>
          <w:b/>
          <w:bCs/>
          <w:sz w:val="24"/>
          <w:szCs w:val="24"/>
          <w:lang w:val="ro-MD"/>
        </w:rPr>
      </w:pPr>
    </w:p>
    <w:p w14:paraId="123E61B9" w14:textId="77777777" w:rsidR="00F94936" w:rsidRPr="00231547" w:rsidRDefault="00F94936" w:rsidP="00B12D2F">
      <w:pPr>
        <w:spacing w:after="0"/>
        <w:jc w:val="center"/>
        <w:rPr>
          <w:rFonts w:asciiTheme="majorHAnsi" w:eastAsia="Times New Roman" w:hAnsiTheme="majorHAnsi" w:cstheme="majorHAnsi"/>
          <w:b/>
          <w:bCs/>
          <w:sz w:val="24"/>
          <w:szCs w:val="24"/>
          <w:lang w:val="ro-MD"/>
        </w:rPr>
      </w:pPr>
    </w:p>
    <w:p w14:paraId="7E37AD80" w14:textId="77777777" w:rsidR="005E5342" w:rsidRPr="00231547" w:rsidRDefault="005E5342" w:rsidP="00B12D2F">
      <w:pPr>
        <w:spacing w:after="0"/>
        <w:jc w:val="center"/>
        <w:rPr>
          <w:rFonts w:asciiTheme="majorHAnsi" w:eastAsia="Times New Roman" w:hAnsiTheme="majorHAnsi" w:cstheme="majorHAnsi"/>
          <w:b/>
          <w:bCs/>
          <w:sz w:val="24"/>
          <w:szCs w:val="24"/>
          <w:lang w:val="ro-MD"/>
        </w:rPr>
      </w:pPr>
    </w:p>
    <w:p w14:paraId="390809A7" w14:textId="77777777" w:rsidR="005E5342" w:rsidRPr="00231547" w:rsidRDefault="005E5342" w:rsidP="00B12D2F">
      <w:pPr>
        <w:spacing w:after="0"/>
        <w:jc w:val="center"/>
        <w:rPr>
          <w:rFonts w:asciiTheme="majorHAnsi" w:eastAsia="Times New Roman" w:hAnsiTheme="majorHAnsi" w:cstheme="majorHAnsi"/>
          <w:b/>
          <w:bCs/>
          <w:sz w:val="24"/>
          <w:szCs w:val="24"/>
          <w:lang w:val="ro-MD"/>
        </w:rPr>
      </w:pPr>
    </w:p>
    <w:p w14:paraId="046712C7" w14:textId="77777777" w:rsidR="005E5342" w:rsidRPr="00231547" w:rsidRDefault="005E5342" w:rsidP="00B12D2F">
      <w:pPr>
        <w:spacing w:after="0"/>
        <w:jc w:val="center"/>
        <w:rPr>
          <w:rFonts w:asciiTheme="majorHAnsi" w:eastAsia="Times New Roman" w:hAnsiTheme="majorHAnsi" w:cstheme="majorHAnsi"/>
          <w:b/>
          <w:bCs/>
          <w:sz w:val="24"/>
          <w:szCs w:val="24"/>
          <w:lang w:val="ro-MD"/>
        </w:rPr>
      </w:pPr>
    </w:p>
    <w:p w14:paraId="01481E3C" w14:textId="77777777" w:rsidR="005E5342" w:rsidRPr="00231547" w:rsidRDefault="005E5342" w:rsidP="00B12D2F">
      <w:pPr>
        <w:spacing w:after="0"/>
        <w:jc w:val="center"/>
        <w:rPr>
          <w:rFonts w:asciiTheme="majorHAnsi" w:eastAsia="Times New Roman" w:hAnsiTheme="majorHAnsi" w:cstheme="majorHAnsi"/>
          <w:b/>
          <w:bCs/>
          <w:sz w:val="24"/>
          <w:szCs w:val="24"/>
          <w:lang w:val="ro-MD"/>
        </w:rPr>
      </w:pPr>
    </w:p>
    <w:p w14:paraId="46BC9147" w14:textId="09791866" w:rsidR="0071403F" w:rsidRPr="00231547" w:rsidRDefault="0071403F" w:rsidP="00B12D2F">
      <w:pPr>
        <w:spacing w:after="0"/>
        <w:jc w:val="center"/>
        <w:rPr>
          <w:rFonts w:asciiTheme="majorHAnsi" w:eastAsia="Times New Roman" w:hAnsiTheme="majorHAnsi" w:cstheme="majorHAnsi"/>
          <w:b/>
          <w:bCs/>
          <w:sz w:val="24"/>
          <w:szCs w:val="24"/>
          <w:lang w:val="ro-MD"/>
        </w:rPr>
      </w:pPr>
    </w:p>
    <w:p w14:paraId="05A9C0C0" w14:textId="77777777" w:rsidR="00D5143D" w:rsidRPr="00231547" w:rsidRDefault="00D5143D" w:rsidP="00B12D2F">
      <w:pPr>
        <w:spacing w:after="0"/>
        <w:jc w:val="center"/>
        <w:rPr>
          <w:rFonts w:asciiTheme="majorHAnsi" w:eastAsia="Times New Roman" w:hAnsiTheme="majorHAnsi" w:cstheme="majorHAnsi"/>
          <w:b/>
          <w:bCs/>
          <w:sz w:val="24"/>
          <w:szCs w:val="24"/>
          <w:lang w:val="ro-MD"/>
        </w:rPr>
      </w:pPr>
    </w:p>
    <w:p w14:paraId="4B1E3473" w14:textId="77777777" w:rsidR="00F94936" w:rsidRPr="00231547" w:rsidRDefault="00F94936" w:rsidP="00B12D2F">
      <w:pPr>
        <w:spacing w:after="0"/>
        <w:jc w:val="center"/>
        <w:rPr>
          <w:rFonts w:asciiTheme="majorHAnsi" w:eastAsia="Times New Roman" w:hAnsiTheme="majorHAnsi" w:cstheme="majorHAnsi"/>
          <w:b/>
          <w:bCs/>
          <w:sz w:val="24"/>
          <w:szCs w:val="24"/>
          <w:lang w:val="ro-MD"/>
        </w:rPr>
      </w:pPr>
    </w:p>
    <w:p w14:paraId="60CEF50B" w14:textId="4CBD43A7" w:rsidR="00F94936" w:rsidRPr="00231547" w:rsidRDefault="00F94936" w:rsidP="00B12D2F">
      <w:pPr>
        <w:numPr>
          <w:ilvl w:val="0"/>
          <w:numId w:val="1"/>
        </w:numPr>
        <w:spacing w:after="0"/>
        <w:contextualSpacing/>
        <w:rPr>
          <w:rFonts w:asciiTheme="majorHAnsi" w:hAnsiTheme="majorHAnsi" w:cstheme="majorHAnsi"/>
          <w:b/>
          <w:sz w:val="24"/>
          <w:szCs w:val="24"/>
          <w:lang w:val="ro-MD"/>
        </w:rPr>
      </w:pPr>
      <w:bookmarkStart w:id="2" w:name="_Toc468866350"/>
      <w:bookmarkEnd w:id="1"/>
      <w:r w:rsidRPr="00231547">
        <w:rPr>
          <w:rFonts w:asciiTheme="majorHAnsi" w:hAnsiTheme="majorHAnsi" w:cstheme="majorHAnsi"/>
          <w:b/>
          <w:sz w:val="24"/>
          <w:szCs w:val="24"/>
          <w:lang w:val="ro-MD"/>
        </w:rPr>
        <w:lastRenderedPageBreak/>
        <w:t>OPINIE CU REZERVE</w:t>
      </w:r>
    </w:p>
    <w:p w14:paraId="13D93AF5" w14:textId="77777777" w:rsidR="001808E7" w:rsidRPr="00231547" w:rsidRDefault="001808E7" w:rsidP="001808E7">
      <w:pPr>
        <w:spacing w:after="0"/>
        <w:ind w:left="1080"/>
        <w:contextualSpacing/>
        <w:rPr>
          <w:rFonts w:asciiTheme="majorHAnsi" w:hAnsiTheme="majorHAnsi" w:cstheme="majorHAnsi"/>
          <w:b/>
          <w:sz w:val="8"/>
          <w:szCs w:val="8"/>
          <w:lang w:val="ro-MD"/>
        </w:rPr>
      </w:pPr>
    </w:p>
    <w:p w14:paraId="3F1E7421" w14:textId="77777777" w:rsidR="007721E0" w:rsidRPr="00231547" w:rsidRDefault="00F94936" w:rsidP="00B12D2F">
      <w:pPr>
        <w:pStyle w:val="FootnoteText"/>
        <w:spacing w:after="120" w:line="276" w:lineRule="auto"/>
        <w:jc w:val="both"/>
        <w:rPr>
          <w:rFonts w:asciiTheme="majorHAnsi" w:hAnsiTheme="majorHAnsi" w:cstheme="majorHAnsi"/>
          <w:sz w:val="24"/>
          <w:szCs w:val="24"/>
          <w:lang w:val="ro-MD"/>
        </w:rPr>
      </w:pPr>
      <w:r w:rsidRPr="00231547">
        <w:rPr>
          <w:rFonts w:asciiTheme="majorHAnsi" w:hAnsiTheme="majorHAnsi" w:cstheme="majorHAnsi"/>
          <w:sz w:val="24"/>
          <w:szCs w:val="24"/>
          <w:lang w:val="ro-MD"/>
        </w:rPr>
        <w:t xml:space="preserve">Am auditat rapoartele financiare consolidate ale Ministerului Afacerilor Externe și Integrării Europene pentru exercițiul încheiat la 31 decembrie 2020, care cuprind: </w:t>
      </w:r>
      <w:r w:rsidRPr="00231547">
        <w:rPr>
          <w:rFonts w:asciiTheme="majorHAnsi" w:eastAsia="Times New Roman" w:hAnsiTheme="majorHAnsi" w:cstheme="majorHAnsi"/>
          <w:sz w:val="24"/>
          <w:szCs w:val="24"/>
          <w:lang w:val="ro-MD"/>
        </w:rPr>
        <w:t>Bilanțul contabil, Raportul privind veniturile și cheltuielile, Raportul privind fluxul mijloacelor bănești, Raportul privind executarea bugetului, Raportul narativ privind executarea bugetului pe anul 2020</w:t>
      </w:r>
      <w:r w:rsidRPr="00231547">
        <w:rPr>
          <w:rFonts w:asciiTheme="majorHAnsi" w:hAnsiTheme="majorHAnsi" w:cstheme="majorHAnsi"/>
          <w:sz w:val="24"/>
          <w:szCs w:val="24"/>
          <w:lang w:val="ro-MD"/>
        </w:rPr>
        <w:t>,</w:t>
      </w:r>
      <w:r w:rsidRPr="00231547">
        <w:rPr>
          <w:rFonts w:asciiTheme="majorHAnsi" w:eastAsia="Times New Roman" w:hAnsiTheme="majorHAnsi" w:cstheme="majorHAnsi"/>
          <w:sz w:val="24"/>
          <w:szCs w:val="24"/>
          <w:lang w:val="ro-MD"/>
        </w:rPr>
        <w:t xml:space="preserve"> inclusiv un sumar al politicilor contabile semnificative</w:t>
      </w:r>
      <w:r w:rsidRPr="00231547">
        <w:rPr>
          <w:rFonts w:asciiTheme="majorHAnsi" w:hAnsiTheme="majorHAnsi" w:cstheme="majorHAnsi"/>
          <w:sz w:val="24"/>
          <w:szCs w:val="24"/>
          <w:lang w:val="ro-MD"/>
        </w:rPr>
        <w:t xml:space="preserve">. </w:t>
      </w:r>
    </w:p>
    <w:p w14:paraId="5E30A0F5" w14:textId="0352B352" w:rsidR="00E5749D" w:rsidRPr="00231547" w:rsidRDefault="00F94936" w:rsidP="00B12D2F">
      <w:pPr>
        <w:pStyle w:val="FootnoteText"/>
        <w:spacing w:after="120" w:line="276" w:lineRule="auto"/>
        <w:jc w:val="both"/>
        <w:rPr>
          <w:rFonts w:asciiTheme="majorHAnsi" w:hAnsiTheme="majorHAnsi" w:cstheme="majorHAnsi"/>
          <w:sz w:val="24"/>
          <w:szCs w:val="24"/>
          <w:lang w:val="ro-MD"/>
        </w:rPr>
      </w:pPr>
      <w:r w:rsidRPr="00231547">
        <w:rPr>
          <w:rFonts w:asciiTheme="majorHAnsi" w:hAnsiTheme="majorHAnsi" w:cstheme="majorHAnsi"/>
          <w:sz w:val="24"/>
          <w:szCs w:val="24"/>
          <w:lang w:val="ro-MD"/>
        </w:rPr>
        <w:t>În opinia noastră, cu excepția efectelor unor aspecte descrise în secțiunea „Baza pentru opinia cu rezerve”, rapoartele financiare</w:t>
      </w:r>
      <w:r w:rsidR="00741EC1" w:rsidRPr="00231547">
        <w:rPr>
          <w:rFonts w:asciiTheme="majorHAnsi" w:hAnsiTheme="majorHAnsi" w:cstheme="majorHAnsi"/>
          <w:sz w:val="24"/>
          <w:szCs w:val="24"/>
          <w:lang w:val="ro-MD"/>
        </w:rPr>
        <w:t xml:space="preserve"> </w:t>
      </w:r>
      <w:r w:rsidRPr="00231547">
        <w:rPr>
          <w:rFonts w:asciiTheme="majorHAnsi" w:hAnsiTheme="majorHAnsi" w:cstheme="majorHAnsi"/>
          <w:sz w:val="24"/>
          <w:szCs w:val="24"/>
          <w:lang w:val="ro-MD"/>
        </w:rPr>
        <w:t>oferă</w:t>
      </w:r>
      <w:r w:rsidR="00741EC1" w:rsidRPr="00231547">
        <w:rPr>
          <w:rFonts w:asciiTheme="majorHAnsi" w:hAnsiTheme="majorHAnsi" w:cstheme="majorHAnsi"/>
          <w:sz w:val="24"/>
          <w:szCs w:val="24"/>
          <w:lang w:val="ro-MD"/>
        </w:rPr>
        <w:t xml:space="preserve">, sub toate aspectele semnificative, </w:t>
      </w:r>
      <w:r w:rsidRPr="00231547">
        <w:rPr>
          <w:rFonts w:asciiTheme="majorHAnsi" w:hAnsiTheme="majorHAnsi" w:cstheme="majorHAnsi"/>
          <w:sz w:val="24"/>
          <w:szCs w:val="24"/>
          <w:lang w:val="ro-MD"/>
        </w:rPr>
        <w:t>o imagine corectă și fidelă în conformitate cu cadrul de raportare financiară aplicabil</w:t>
      </w:r>
      <w:r w:rsidRPr="00231547">
        <w:rPr>
          <w:rFonts w:asciiTheme="majorHAnsi" w:hAnsiTheme="majorHAnsi" w:cstheme="majorHAnsi"/>
          <w:sz w:val="24"/>
          <w:szCs w:val="24"/>
          <w:vertAlign w:val="superscript"/>
          <w:lang w:val="ro-MD"/>
        </w:rPr>
        <w:footnoteReference w:id="1"/>
      </w:r>
      <w:r w:rsidRPr="00231547">
        <w:rPr>
          <w:rFonts w:asciiTheme="majorHAnsi" w:hAnsiTheme="majorHAnsi" w:cstheme="majorHAnsi"/>
          <w:sz w:val="24"/>
          <w:szCs w:val="24"/>
          <w:lang w:val="ro-MD"/>
        </w:rPr>
        <w:t>.</w:t>
      </w:r>
    </w:p>
    <w:p w14:paraId="16B613C7" w14:textId="77777777" w:rsidR="001808E7" w:rsidRPr="00231547" w:rsidRDefault="001808E7" w:rsidP="00B12D2F">
      <w:pPr>
        <w:pStyle w:val="FootnoteText"/>
        <w:spacing w:after="120" w:line="276" w:lineRule="auto"/>
        <w:jc w:val="both"/>
        <w:rPr>
          <w:rFonts w:asciiTheme="majorHAnsi" w:hAnsiTheme="majorHAnsi" w:cstheme="majorHAnsi"/>
          <w:sz w:val="8"/>
          <w:szCs w:val="8"/>
          <w:lang w:val="ro-MD"/>
        </w:rPr>
      </w:pPr>
    </w:p>
    <w:p w14:paraId="32BAF499" w14:textId="5789CDED" w:rsidR="00F94936" w:rsidRPr="00231547" w:rsidRDefault="00F94936" w:rsidP="002154D7">
      <w:pPr>
        <w:pStyle w:val="ListParagraph"/>
        <w:numPr>
          <w:ilvl w:val="0"/>
          <w:numId w:val="1"/>
        </w:numPr>
        <w:spacing w:after="0"/>
        <w:ind w:left="1077"/>
        <w:rPr>
          <w:rFonts w:asciiTheme="majorHAnsi" w:hAnsiTheme="majorHAnsi" w:cstheme="majorHAnsi"/>
          <w:b/>
          <w:sz w:val="24"/>
          <w:szCs w:val="24"/>
          <w:lang w:val="ro-MD"/>
        </w:rPr>
      </w:pPr>
      <w:bookmarkStart w:id="3" w:name="_Toc35471363"/>
      <w:r w:rsidRPr="00231547">
        <w:rPr>
          <w:rFonts w:asciiTheme="majorHAnsi" w:hAnsiTheme="majorHAnsi" w:cstheme="majorHAnsi"/>
          <w:b/>
          <w:sz w:val="24"/>
          <w:szCs w:val="24"/>
          <w:lang w:val="ro-MD"/>
        </w:rPr>
        <w:t>BAZA PENTRU OPINIA CU REZERVE</w:t>
      </w:r>
    </w:p>
    <w:p w14:paraId="49466F51" w14:textId="77777777" w:rsidR="005836AD" w:rsidRPr="00231547" w:rsidRDefault="005836AD" w:rsidP="00B12D2F">
      <w:pPr>
        <w:pStyle w:val="ListParagraph"/>
        <w:spacing w:after="0"/>
        <w:ind w:left="1080"/>
        <w:rPr>
          <w:rFonts w:asciiTheme="majorHAnsi" w:hAnsiTheme="majorHAnsi" w:cstheme="majorHAnsi"/>
          <w:b/>
          <w:sz w:val="8"/>
          <w:szCs w:val="8"/>
          <w:lang w:val="ro-MD"/>
        </w:rPr>
      </w:pPr>
    </w:p>
    <w:p w14:paraId="4E73D96E" w14:textId="3B4CDDF3" w:rsidR="00E5749D" w:rsidRPr="00231547" w:rsidRDefault="003707FB" w:rsidP="00E5749D">
      <w:pPr>
        <w:contextualSpacing/>
        <w:jc w:val="both"/>
        <w:rPr>
          <w:rFonts w:asciiTheme="majorHAnsi" w:hAnsiTheme="majorHAnsi" w:cstheme="majorHAnsi"/>
          <w:noProof/>
          <w:sz w:val="24"/>
          <w:szCs w:val="24"/>
          <w:lang w:val="ro-MD"/>
        </w:rPr>
      </w:pPr>
      <w:r w:rsidRPr="00231547">
        <w:rPr>
          <w:rFonts w:asciiTheme="majorHAnsi" w:hAnsiTheme="majorHAnsi" w:cstheme="majorHAnsi"/>
          <w:sz w:val="24"/>
          <w:szCs w:val="24"/>
          <w:lang w:val="ro-MD"/>
        </w:rPr>
        <w:t>C</w:t>
      </w:r>
      <w:r w:rsidR="00741EC1" w:rsidRPr="00231547">
        <w:rPr>
          <w:rFonts w:asciiTheme="majorHAnsi" w:hAnsiTheme="majorHAnsi" w:cstheme="majorHAnsi"/>
          <w:sz w:val="24"/>
          <w:szCs w:val="24"/>
          <w:lang w:val="ro-MD"/>
        </w:rPr>
        <w:t xml:space="preserve">a </w:t>
      </w:r>
      <w:r w:rsidR="00E5749D" w:rsidRPr="00231547">
        <w:rPr>
          <w:rFonts w:asciiTheme="majorHAnsi" w:hAnsiTheme="majorHAnsi" w:cstheme="majorHAnsi"/>
          <w:sz w:val="24"/>
          <w:szCs w:val="24"/>
          <w:lang w:val="ro-MD"/>
        </w:rPr>
        <w:t xml:space="preserve">urmare </w:t>
      </w:r>
      <w:r w:rsidR="00741EC1" w:rsidRPr="00231547">
        <w:rPr>
          <w:rFonts w:asciiTheme="majorHAnsi" w:hAnsiTheme="majorHAnsi" w:cstheme="majorHAnsi"/>
          <w:sz w:val="24"/>
          <w:szCs w:val="24"/>
          <w:lang w:val="ro-MD"/>
        </w:rPr>
        <w:t xml:space="preserve">a </w:t>
      </w:r>
      <w:r w:rsidR="00E5749D" w:rsidRPr="00231547">
        <w:rPr>
          <w:rFonts w:asciiTheme="majorHAnsi" w:hAnsiTheme="majorHAnsi" w:cstheme="majorHAnsi"/>
          <w:sz w:val="24"/>
          <w:szCs w:val="24"/>
          <w:lang w:val="ro-MD"/>
        </w:rPr>
        <w:t>incertitudinilor ce țin de valorificarea dreptului de proprietate</w:t>
      </w:r>
      <w:r w:rsidR="00741EC1" w:rsidRPr="00231547">
        <w:rPr>
          <w:rFonts w:asciiTheme="majorHAnsi" w:hAnsiTheme="majorHAnsi" w:cstheme="majorHAnsi"/>
          <w:sz w:val="24"/>
          <w:szCs w:val="24"/>
          <w:lang w:val="ro-MD"/>
        </w:rPr>
        <w:t>,</w:t>
      </w:r>
      <w:r w:rsidR="00E5749D" w:rsidRPr="00231547">
        <w:rPr>
          <w:rFonts w:asciiTheme="majorHAnsi" w:hAnsiTheme="majorHAnsi" w:cstheme="majorHAnsi"/>
          <w:sz w:val="24"/>
          <w:szCs w:val="24"/>
          <w:lang w:val="ro-MD"/>
        </w:rPr>
        <w:t xml:space="preserve"> </w:t>
      </w:r>
      <w:r w:rsidRPr="00231547">
        <w:rPr>
          <w:rFonts w:asciiTheme="majorHAnsi" w:hAnsiTheme="majorHAnsi" w:cstheme="majorHAnsi"/>
          <w:sz w:val="24"/>
          <w:szCs w:val="24"/>
          <w:lang w:val="ro-MD"/>
        </w:rPr>
        <w:t>Ministerul a înregistrat</w:t>
      </w:r>
      <w:r w:rsidR="008A7252" w:rsidRPr="00231547">
        <w:rPr>
          <w:rFonts w:asciiTheme="majorHAnsi" w:hAnsiTheme="majorHAnsi" w:cstheme="majorHAnsi"/>
          <w:sz w:val="24"/>
          <w:szCs w:val="24"/>
          <w:lang w:val="ro-MD"/>
        </w:rPr>
        <w:t>, aplic</w:t>
      </w:r>
      <w:r w:rsidR="00667A34" w:rsidRPr="00231547">
        <w:rPr>
          <w:rFonts w:asciiTheme="majorHAnsi" w:hAnsiTheme="majorHAnsi" w:cstheme="majorHAnsi"/>
          <w:sz w:val="24"/>
          <w:szCs w:val="24"/>
          <w:lang w:val="ro-MD"/>
        </w:rPr>
        <w:t>ând</w:t>
      </w:r>
      <w:r w:rsidR="008A7252" w:rsidRPr="00231547">
        <w:rPr>
          <w:rFonts w:asciiTheme="majorHAnsi" w:hAnsiTheme="majorHAnsi" w:cstheme="majorHAnsi"/>
          <w:sz w:val="24"/>
          <w:szCs w:val="24"/>
          <w:lang w:val="ro-MD"/>
        </w:rPr>
        <w:t xml:space="preserve"> cadrul de raportare financiară,</w:t>
      </w:r>
      <w:r w:rsidR="00E5749D" w:rsidRPr="00231547">
        <w:rPr>
          <w:rFonts w:asciiTheme="majorHAnsi" w:hAnsiTheme="majorHAnsi" w:cstheme="majorHAnsi"/>
          <w:sz w:val="24"/>
          <w:szCs w:val="24"/>
          <w:lang w:val="ro-MD"/>
        </w:rPr>
        <w:t xml:space="preserve"> o subevaluare a activelor nefinanciare </w:t>
      </w:r>
      <w:r w:rsidRPr="00231547">
        <w:rPr>
          <w:rFonts w:asciiTheme="majorHAnsi" w:hAnsiTheme="majorHAnsi" w:cstheme="majorHAnsi"/>
          <w:sz w:val="24"/>
          <w:szCs w:val="24"/>
          <w:lang w:val="ro-MD"/>
        </w:rPr>
        <w:t xml:space="preserve">în sumă </w:t>
      </w:r>
      <w:r w:rsidR="00E5749D" w:rsidRPr="00231547">
        <w:rPr>
          <w:rFonts w:asciiTheme="majorHAnsi" w:hAnsiTheme="majorHAnsi" w:cstheme="majorHAnsi"/>
          <w:sz w:val="24"/>
          <w:szCs w:val="24"/>
          <w:lang w:val="ro-MD"/>
        </w:rPr>
        <w:t>de 2,8 mil. lei (în principal</w:t>
      </w:r>
      <w:r w:rsidRPr="00231547">
        <w:rPr>
          <w:rFonts w:asciiTheme="majorHAnsi" w:hAnsiTheme="majorHAnsi" w:cstheme="majorHAnsi"/>
          <w:sz w:val="24"/>
          <w:szCs w:val="24"/>
          <w:lang w:val="ro-MD"/>
        </w:rPr>
        <w:t>,</w:t>
      </w:r>
      <w:r w:rsidR="00E5749D" w:rsidRPr="00231547">
        <w:rPr>
          <w:rFonts w:asciiTheme="majorHAnsi" w:hAnsiTheme="majorHAnsi" w:cstheme="majorHAnsi"/>
          <w:sz w:val="24"/>
          <w:szCs w:val="24"/>
          <w:lang w:val="ro-MD"/>
        </w:rPr>
        <w:t xml:space="preserve"> clădiri </w:t>
      </w:r>
      <w:r w:rsidR="00741EC1" w:rsidRPr="00231547">
        <w:rPr>
          <w:rFonts w:asciiTheme="majorHAnsi" w:hAnsiTheme="majorHAnsi" w:cstheme="majorHAnsi"/>
          <w:sz w:val="24"/>
          <w:szCs w:val="24"/>
          <w:lang w:val="ro-MD"/>
        </w:rPr>
        <w:t xml:space="preserve">în valoare </w:t>
      </w:r>
      <w:r w:rsidR="00E5749D" w:rsidRPr="00231547">
        <w:rPr>
          <w:rFonts w:asciiTheme="majorHAnsi" w:hAnsiTheme="majorHAnsi" w:cstheme="majorHAnsi"/>
          <w:sz w:val="24"/>
          <w:szCs w:val="24"/>
          <w:lang w:val="ro-MD"/>
        </w:rPr>
        <w:t xml:space="preserve">de 2,3 mil. lei) și o supraevaluare a cheltuielilor </w:t>
      </w:r>
      <w:r w:rsidRPr="00231547">
        <w:rPr>
          <w:rFonts w:asciiTheme="majorHAnsi" w:hAnsiTheme="majorHAnsi" w:cstheme="majorHAnsi"/>
          <w:sz w:val="24"/>
          <w:szCs w:val="24"/>
          <w:lang w:val="ro-MD"/>
        </w:rPr>
        <w:t xml:space="preserve">în sumă </w:t>
      </w:r>
      <w:r w:rsidR="00E5749D" w:rsidRPr="00231547">
        <w:rPr>
          <w:rFonts w:asciiTheme="majorHAnsi" w:hAnsiTheme="majorHAnsi" w:cstheme="majorHAnsi"/>
          <w:sz w:val="24"/>
          <w:szCs w:val="24"/>
          <w:lang w:val="ro-MD"/>
        </w:rPr>
        <w:t>de 2,5 mil. lei (în principal</w:t>
      </w:r>
      <w:r w:rsidRPr="00231547">
        <w:rPr>
          <w:rFonts w:asciiTheme="majorHAnsi" w:hAnsiTheme="majorHAnsi" w:cstheme="majorHAnsi"/>
          <w:sz w:val="24"/>
          <w:szCs w:val="24"/>
          <w:lang w:val="ro-MD"/>
        </w:rPr>
        <w:t>,</w:t>
      </w:r>
      <w:r w:rsidR="00E5749D" w:rsidRPr="00231547">
        <w:rPr>
          <w:rFonts w:asciiTheme="majorHAnsi" w:hAnsiTheme="majorHAnsi" w:cstheme="majorHAnsi"/>
          <w:sz w:val="24"/>
          <w:szCs w:val="24"/>
          <w:lang w:val="ro-MD"/>
        </w:rPr>
        <w:t xml:space="preserve"> cheltuieli pentru servicii </w:t>
      </w:r>
      <w:r w:rsidR="00741EC1" w:rsidRPr="00231547">
        <w:rPr>
          <w:rFonts w:asciiTheme="majorHAnsi" w:hAnsiTheme="majorHAnsi" w:cstheme="majorHAnsi"/>
          <w:sz w:val="24"/>
          <w:szCs w:val="24"/>
          <w:lang w:val="ro-MD"/>
        </w:rPr>
        <w:t xml:space="preserve">în valoare </w:t>
      </w:r>
      <w:r w:rsidR="00E5749D" w:rsidRPr="00231547">
        <w:rPr>
          <w:rFonts w:asciiTheme="majorHAnsi" w:hAnsiTheme="majorHAnsi" w:cstheme="majorHAnsi"/>
          <w:sz w:val="24"/>
          <w:szCs w:val="24"/>
          <w:lang w:val="ro-MD"/>
        </w:rPr>
        <w:t>de 2,5 mil. lei). Eroarea totală de 5,3 mil. lei este o sumă semnificativă.</w:t>
      </w:r>
    </w:p>
    <w:p w14:paraId="39E488FF" w14:textId="0E750D7E" w:rsidR="001808E7" w:rsidRPr="00231547" w:rsidRDefault="001808E7" w:rsidP="00E5749D">
      <w:pPr>
        <w:jc w:val="both"/>
        <w:rPr>
          <w:rFonts w:asciiTheme="majorHAnsi" w:hAnsiTheme="majorHAnsi" w:cstheme="majorHAnsi"/>
          <w:sz w:val="8"/>
          <w:szCs w:val="8"/>
          <w:lang w:val="ro-MD"/>
        </w:rPr>
      </w:pPr>
    </w:p>
    <w:p w14:paraId="2EC2EFCC" w14:textId="0543388C" w:rsidR="00366B78" w:rsidRPr="00231547" w:rsidRDefault="00F94936" w:rsidP="00E5749D">
      <w:pPr>
        <w:jc w:val="both"/>
        <w:rPr>
          <w:rFonts w:asciiTheme="majorHAnsi" w:hAnsiTheme="majorHAnsi" w:cstheme="majorHAnsi"/>
          <w:sz w:val="24"/>
          <w:szCs w:val="24"/>
          <w:lang w:val="ro-MD"/>
        </w:rPr>
      </w:pPr>
      <w:r w:rsidRPr="00231547">
        <w:rPr>
          <w:rFonts w:asciiTheme="majorHAnsi" w:hAnsiTheme="majorHAnsi" w:cstheme="majorHAnsi"/>
          <w:sz w:val="24"/>
          <w:szCs w:val="24"/>
          <w:lang w:val="ro-MD"/>
        </w:rPr>
        <w:t>Am realizat misiunea de audit în conformitate cu Standardele Internaționale ale Instituțiilor Supreme de Audit aplicate de Curtea de Conturi</w:t>
      </w:r>
      <w:r w:rsidRPr="00231547">
        <w:rPr>
          <w:rStyle w:val="FootnoteReference"/>
          <w:rFonts w:asciiTheme="majorHAnsi" w:hAnsiTheme="majorHAnsi" w:cstheme="majorHAnsi"/>
          <w:sz w:val="24"/>
          <w:szCs w:val="24"/>
          <w:lang w:val="ro-MD"/>
        </w:rPr>
        <w:footnoteReference w:id="2"/>
      </w:r>
      <w:r w:rsidRPr="00231547">
        <w:rPr>
          <w:rFonts w:asciiTheme="majorHAnsi" w:hAnsiTheme="majorHAnsi" w:cstheme="majorHAnsi"/>
          <w:sz w:val="24"/>
          <w:szCs w:val="24"/>
          <w:lang w:val="ro-MD"/>
        </w:rPr>
        <w:t xml:space="preserve">. Responsabilitățile noastre, potrivit standardelor respective, sunt expuse în secțiunea </w:t>
      </w:r>
      <w:r w:rsidRPr="00231547">
        <w:rPr>
          <w:rFonts w:asciiTheme="majorHAnsi" w:hAnsiTheme="majorHAnsi" w:cstheme="majorHAnsi"/>
          <w:i/>
          <w:sz w:val="24"/>
          <w:szCs w:val="24"/>
          <w:lang w:val="ro-MD"/>
        </w:rPr>
        <w:t>Responsabilitățile auditorului într-un audit al rapoartelor financiare</w:t>
      </w:r>
      <w:r w:rsidRPr="00231547">
        <w:rPr>
          <w:rFonts w:asciiTheme="majorHAnsi" w:hAnsiTheme="majorHAnsi" w:cstheme="majorHAnsi"/>
          <w:sz w:val="24"/>
          <w:szCs w:val="24"/>
          <w:lang w:val="ro-MD"/>
        </w:rPr>
        <w:t xml:space="preserve"> din prezentul Raport. Suntem independenți față de entitatea auditată și am îndeplinit responsabilitățile de etică conform cerințelor Codului etic al Curții de Conturi. Considerăm că probele de audit pe care le-am obținut sunt suficiente și adecvate pentru a furniza o bază pentru opinia noastră.</w:t>
      </w:r>
    </w:p>
    <w:p w14:paraId="6B869180" w14:textId="77777777" w:rsidR="00E5749D" w:rsidRPr="00231547" w:rsidRDefault="00E5749D" w:rsidP="00E5749D">
      <w:pPr>
        <w:jc w:val="both"/>
        <w:rPr>
          <w:rFonts w:asciiTheme="majorHAnsi" w:hAnsiTheme="majorHAnsi" w:cstheme="majorHAnsi"/>
          <w:sz w:val="8"/>
          <w:szCs w:val="8"/>
          <w:lang w:val="ro-MD"/>
        </w:rPr>
      </w:pPr>
    </w:p>
    <w:p w14:paraId="52EFA933" w14:textId="77777777" w:rsidR="00366B78" w:rsidRPr="00231547" w:rsidRDefault="00366B78" w:rsidP="00B12D2F">
      <w:pPr>
        <w:pStyle w:val="ListParagraph"/>
        <w:numPr>
          <w:ilvl w:val="0"/>
          <w:numId w:val="1"/>
        </w:numPr>
        <w:spacing w:after="0"/>
        <w:rPr>
          <w:rFonts w:asciiTheme="majorHAnsi" w:hAnsiTheme="majorHAnsi" w:cstheme="majorHAnsi"/>
          <w:b/>
          <w:sz w:val="28"/>
          <w:szCs w:val="28"/>
          <w:lang w:val="ro-MD"/>
        </w:rPr>
      </w:pPr>
      <w:r w:rsidRPr="00231547">
        <w:rPr>
          <w:rFonts w:asciiTheme="majorHAnsi" w:hAnsiTheme="majorHAnsi" w:cstheme="majorHAnsi"/>
          <w:b/>
          <w:sz w:val="28"/>
          <w:szCs w:val="28"/>
          <w:lang w:val="ro-MD"/>
        </w:rPr>
        <w:t>PARAGRAF DE EVIDENȚIERE A UNOR ASPECTE</w:t>
      </w:r>
    </w:p>
    <w:p w14:paraId="4299B16D" w14:textId="77777777" w:rsidR="00366B78" w:rsidRPr="00231547" w:rsidRDefault="00366B78" w:rsidP="00B12D2F">
      <w:pPr>
        <w:pStyle w:val="ListParagraph"/>
        <w:spacing w:after="0"/>
        <w:ind w:left="0"/>
        <w:jc w:val="both"/>
        <w:rPr>
          <w:rFonts w:asciiTheme="majorHAnsi" w:hAnsiTheme="majorHAnsi" w:cstheme="majorHAnsi"/>
          <w:sz w:val="8"/>
          <w:szCs w:val="8"/>
          <w:lang w:val="ro-MD"/>
        </w:rPr>
      </w:pPr>
    </w:p>
    <w:p w14:paraId="1FBC3ACC" w14:textId="336284ED" w:rsidR="003768B5" w:rsidRPr="00231547" w:rsidRDefault="00366B78" w:rsidP="00B12D2F">
      <w:pPr>
        <w:pStyle w:val="ListParagraph"/>
        <w:spacing w:after="0"/>
        <w:ind w:left="0"/>
        <w:jc w:val="both"/>
        <w:rPr>
          <w:rFonts w:asciiTheme="majorHAnsi" w:hAnsiTheme="majorHAnsi" w:cstheme="majorHAnsi"/>
          <w:sz w:val="24"/>
          <w:szCs w:val="24"/>
          <w:lang w:val="ro-MD"/>
        </w:rPr>
      </w:pPr>
      <w:r w:rsidRPr="00231547">
        <w:rPr>
          <w:rFonts w:asciiTheme="majorHAnsi" w:hAnsiTheme="majorHAnsi" w:cstheme="majorHAnsi"/>
          <w:sz w:val="24"/>
          <w:szCs w:val="24"/>
          <w:lang w:val="ro-MD"/>
        </w:rPr>
        <w:t>Atragem atenț</w:t>
      </w:r>
      <w:r w:rsidR="00613C8B" w:rsidRPr="00231547">
        <w:rPr>
          <w:rFonts w:asciiTheme="majorHAnsi" w:hAnsiTheme="majorHAnsi" w:cstheme="majorHAnsi"/>
          <w:sz w:val="24"/>
          <w:szCs w:val="24"/>
          <w:lang w:val="ro-MD"/>
        </w:rPr>
        <w:t>ia asupra in</w:t>
      </w:r>
      <w:r w:rsidR="007036A1" w:rsidRPr="00231547">
        <w:rPr>
          <w:rFonts w:asciiTheme="majorHAnsi" w:hAnsiTheme="majorHAnsi" w:cstheme="majorHAnsi"/>
          <w:sz w:val="24"/>
          <w:szCs w:val="24"/>
          <w:lang w:val="ro-MD"/>
        </w:rPr>
        <w:t>certitudinii privind</w:t>
      </w:r>
      <w:r w:rsidR="00625D97" w:rsidRPr="00231547">
        <w:rPr>
          <w:rFonts w:asciiTheme="majorHAnsi" w:hAnsiTheme="majorHAnsi" w:cstheme="majorHAnsi"/>
          <w:sz w:val="24"/>
          <w:szCs w:val="24"/>
          <w:lang w:val="ro-MD"/>
        </w:rPr>
        <w:t xml:space="preserve"> valorificarea dreptului </w:t>
      </w:r>
      <w:r w:rsidR="00613C8B" w:rsidRPr="00231547">
        <w:rPr>
          <w:rFonts w:asciiTheme="majorHAnsi" w:hAnsiTheme="majorHAnsi" w:cstheme="majorHAnsi"/>
          <w:sz w:val="24"/>
          <w:szCs w:val="24"/>
          <w:lang w:val="ro-MD"/>
        </w:rPr>
        <w:t>de proprietate a complexului de clădiri</w:t>
      </w:r>
      <w:r w:rsidRPr="00231547">
        <w:rPr>
          <w:rFonts w:asciiTheme="majorHAnsi" w:hAnsiTheme="majorHAnsi" w:cstheme="majorHAnsi"/>
          <w:sz w:val="24"/>
          <w:szCs w:val="24"/>
          <w:lang w:val="ro-MD"/>
        </w:rPr>
        <w:t xml:space="preserve"> </w:t>
      </w:r>
      <w:r w:rsidR="003768B5" w:rsidRPr="00231547">
        <w:rPr>
          <w:rFonts w:asciiTheme="majorHAnsi" w:hAnsiTheme="majorHAnsi" w:cstheme="majorHAnsi"/>
          <w:sz w:val="24"/>
          <w:szCs w:val="24"/>
          <w:lang w:val="ro-MD"/>
        </w:rPr>
        <w:t>cu suprafața totală de 4273,2 m</w:t>
      </w:r>
      <w:r w:rsidR="003768B5" w:rsidRPr="00231547">
        <w:rPr>
          <w:rFonts w:asciiTheme="majorHAnsi" w:hAnsiTheme="majorHAnsi" w:cstheme="majorHAnsi"/>
          <w:sz w:val="24"/>
          <w:szCs w:val="24"/>
          <w:vertAlign w:val="superscript"/>
          <w:lang w:val="ro-MD"/>
        </w:rPr>
        <w:t>2</w:t>
      </w:r>
      <w:r w:rsidR="003768B5" w:rsidRPr="00231547">
        <w:rPr>
          <w:rFonts w:asciiTheme="majorHAnsi" w:hAnsiTheme="majorHAnsi" w:cstheme="majorHAnsi"/>
          <w:sz w:val="24"/>
          <w:szCs w:val="24"/>
          <w:lang w:val="ro-MD"/>
        </w:rPr>
        <w:t xml:space="preserve">, </w:t>
      </w:r>
      <w:r w:rsidR="00613C8B" w:rsidRPr="00231547">
        <w:rPr>
          <w:rFonts w:asciiTheme="majorHAnsi" w:hAnsiTheme="majorHAnsi" w:cstheme="majorHAnsi"/>
          <w:sz w:val="24"/>
          <w:szCs w:val="24"/>
          <w:lang w:val="ro-MD"/>
        </w:rPr>
        <w:t xml:space="preserve">în care este amplasată </w:t>
      </w:r>
      <w:r w:rsidRPr="00231547">
        <w:rPr>
          <w:rFonts w:asciiTheme="majorHAnsi" w:hAnsiTheme="majorHAnsi" w:cstheme="majorHAnsi"/>
          <w:sz w:val="24"/>
          <w:szCs w:val="24"/>
          <w:lang w:val="ro-MD"/>
        </w:rPr>
        <w:t>Ambasada Republicii Moldova în Federația Rusă</w:t>
      </w:r>
      <w:r w:rsidR="003768B5" w:rsidRPr="00231547">
        <w:rPr>
          <w:rFonts w:asciiTheme="majorHAnsi" w:hAnsiTheme="majorHAnsi" w:cstheme="majorHAnsi"/>
          <w:sz w:val="24"/>
          <w:szCs w:val="24"/>
          <w:lang w:val="ro-MD"/>
        </w:rPr>
        <w:t>,</w:t>
      </w:r>
      <w:r w:rsidRPr="00231547">
        <w:rPr>
          <w:rFonts w:asciiTheme="majorHAnsi" w:hAnsiTheme="majorHAnsi" w:cstheme="majorHAnsi"/>
          <w:sz w:val="24"/>
          <w:szCs w:val="24"/>
          <w:lang w:val="ro-MD"/>
        </w:rPr>
        <w:t xml:space="preserve"> </w:t>
      </w:r>
      <w:r w:rsidR="003768B5" w:rsidRPr="00231547">
        <w:rPr>
          <w:rFonts w:asciiTheme="majorHAnsi" w:hAnsiTheme="majorHAnsi" w:cstheme="majorHAnsi"/>
          <w:sz w:val="24"/>
          <w:szCs w:val="24"/>
          <w:lang w:val="ro-MD"/>
        </w:rPr>
        <w:t xml:space="preserve">precum și </w:t>
      </w:r>
      <w:r w:rsidR="00741EC1" w:rsidRPr="00231547">
        <w:rPr>
          <w:rFonts w:asciiTheme="majorHAnsi" w:hAnsiTheme="majorHAnsi" w:cstheme="majorHAnsi"/>
          <w:sz w:val="24"/>
          <w:szCs w:val="24"/>
          <w:lang w:val="ro-MD"/>
        </w:rPr>
        <w:t xml:space="preserve">a </w:t>
      </w:r>
      <w:r w:rsidR="003768B5" w:rsidRPr="00231547">
        <w:rPr>
          <w:rFonts w:asciiTheme="majorHAnsi" w:hAnsiTheme="majorHAnsi" w:cstheme="majorHAnsi"/>
          <w:sz w:val="24"/>
          <w:szCs w:val="24"/>
          <w:lang w:val="ro-MD"/>
        </w:rPr>
        <w:t xml:space="preserve">terenurilor aferente acestora care nu sunt reflectate în evidența contabilă la active nefinanciare. De menționat că acest context </w:t>
      </w:r>
      <w:r w:rsidR="00741EC1" w:rsidRPr="00231547">
        <w:rPr>
          <w:rFonts w:asciiTheme="majorHAnsi" w:hAnsiTheme="majorHAnsi" w:cstheme="majorHAnsi"/>
          <w:sz w:val="24"/>
          <w:szCs w:val="24"/>
          <w:lang w:val="ro-MD"/>
        </w:rPr>
        <w:t>creează</w:t>
      </w:r>
      <w:r w:rsidR="003768B5" w:rsidRPr="00231547">
        <w:rPr>
          <w:rFonts w:asciiTheme="majorHAnsi" w:hAnsiTheme="majorHAnsi" w:cstheme="majorHAnsi"/>
          <w:sz w:val="24"/>
          <w:szCs w:val="24"/>
          <w:lang w:val="ro-MD"/>
        </w:rPr>
        <w:t xml:space="preserve"> incertitudini în domeniul evidenței contabile și calificării cheltuielilor efectuate din banii publici. </w:t>
      </w:r>
    </w:p>
    <w:p w14:paraId="42E6A4E9" w14:textId="4AE33717" w:rsidR="00366B78" w:rsidRPr="00231547" w:rsidRDefault="00366B78" w:rsidP="00B12D2F">
      <w:pPr>
        <w:pStyle w:val="ListParagraph"/>
        <w:spacing w:after="0"/>
        <w:ind w:left="0"/>
        <w:jc w:val="both"/>
        <w:rPr>
          <w:rFonts w:asciiTheme="majorHAnsi" w:hAnsiTheme="majorHAnsi" w:cstheme="majorHAnsi"/>
          <w:b/>
          <w:sz w:val="28"/>
          <w:szCs w:val="28"/>
          <w:lang w:val="ro-MD"/>
        </w:rPr>
      </w:pPr>
      <w:r w:rsidRPr="00231547">
        <w:rPr>
          <w:rFonts w:asciiTheme="majorHAnsi" w:hAnsiTheme="majorHAnsi" w:cstheme="majorHAnsi"/>
          <w:sz w:val="24"/>
          <w:szCs w:val="24"/>
          <w:lang w:val="ro-MD"/>
        </w:rPr>
        <w:t>Totodată</w:t>
      </w:r>
      <w:r w:rsidR="003768B5" w:rsidRPr="00231547">
        <w:rPr>
          <w:rFonts w:asciiTheme="majorHAnsi" w:hAnsiTheme="majorHAnsi" w:cstheme="majorHAnsi"/>
          <w:sz w:val="24"/>
          <w:szCs w:val="24"/>
          <w:lang w:val="ro-MD"/>
        </w:rPr>
        <w:t>,</w:t>
      </w:r>
      <w:r w:rsidRPr="00231547">
        <w:rPr>
          <w:rFonts w:asciiTheme="majorHAnsi" w:hAnsiTheme="majorHAnsi" w:cstheme="majorHAnsi"/>
          <w:sz w:val="24"/>
          <w:szCs w:val="24"/>
          <w:lang w:val="ro-MD"/>
        </w:rPr>
        <w:t xml:space="preserve"> valoarea complexului de imobile gestionate de ambasadă nu este înregistrat</w:t>
      </w:r>
      <w:r w:rsidR="00741EC1" w:rsidRPr="00231547">
        <w:rPr>
          <w:rFonts w:asciiTheme="majorHAnsi" w:hAnsiTheme="majorHAnsi" w:cstheme="majorHAnsi"/>
          <w:sz w:val="24"/>
          <w:szCs w:val="24"/>
          <w:lang w:val="ro-MD"/>
        </w:rPr>
        <w:t>ă</w:t>
      </w:r>
      <w:r w:rsidRPr="00231547">
        <w:rPr>
          <w:rFonts w:asciiTheme="majorHAnsi" w:hAnsiTheme="majorHAnsi" w:cstheme="majorHAnsi"/>
          <w:sz w:val="24"/>
          <w:szCs w:val="24"/>
          <w:lang w:val="ro-MD"/>
        </w:rPr>
        <w:t xml:space="preserve"> nici la contul </w:t>
      </w:r>
      <w:proofErr w:type="spellStart"/>
      <w:r w:rsidRPr="00231547">
        <w:rPr>
          <w:rFonts w:asciiTheme="majorHAnsi" w:hAnsiTheme="majorHAnsi" w:cstheme="majorHAnsi"/>
          <w:sz w:val="24"/>
          <w:szCs w:val="24"/>
          <w:lang w:val="ro-MD"/>
        </w:rPr>
        <w:t>extrabilanțier</w:t>
      </w:r>
      <w:proofErr w:type="spellEnd"/>
      <w:r w:rsidRPr="00231547">
        <w:rPr>
          <w:rFonts w:asciiTheme="majorHAnsi" w:hAnsiTheme="majorHAnsi" w:cstheme="majorHAnsi"/>
          <w:sz w:val="24"/>
          <w:szCs w:val="24"/>
          <w:lang w:val="ro-MD"/>
        </w:rPr>
        <w:t xml:space="preserve"> 822100 </w:t>
      </w:r>
      <w:r w:rsidR="00741EC1" w:rsidRPr="00231547">
        <w:rPr>
          <w:rFonts w:asciiTheme="majorHAnsi" w:hAnsiTheme="majorHAnsi" w:cstheme="majorHAnsi"/>
          <w:sz w:val="24"/>
          <w:szCs w:val="24"/>
          <w:lang w:val="ro-MD"/>
        </w:rPr>
        <w:t>„</w:t>
      </w:r>
      <w:r w:rsidRPr="00231547">
        <w:rPr>
          <w:rFonts w:asciiTheme="majorHAnsi" w:hAnsiTheme="majorHAnsi" w:cstheme="majorHAnsi"/>
          <w:sz w:val="24"/>
          <w:szCs w:val="24"/>
          <w:lang w:val="ro-MD"/>
        </w:rPr>
        <w:t>Active luate în lo</w:t>
      </w:r>
      <w:r w:rsidR="003768B5" w:rsidRPr="00231547">
        <w:rPr>
          <w:rFonts w:asciiTheme="majorHAnsi" w:hAnsiTheme="majorHAnsi" w:cstheme="majorHAnsi"/>
          <w:sz w:val="24"/>
          <w:szCs w:val="24"/>
          <w:lang w:val="ro-MD"/>
        </w:rPr>
        <w:t>cațiune/arendă”, dat fiind lips</w:t>
      </w:r>
      <w:r w:rsidR="006B1379" w:rsidRPr="00231547">
        <w:rPr>
          <w:rFonts w:asciiTheme="majorHAnsi" w:hAnsiTheme="majorHAnsi" w:cstheme="majorHAnsi"/>
          <w:sz w:val="24"/>
          <w:szCs w:val="24"/>
          <w:lang w:val="ro-MD"/>
        </w:rPr>
        <w:t>a</w:t>
      </w:r>
      <w:r w:rsidR="003768B5" w:rsidRPr="00231547">
        <w:rPr>
          <w:rFonts w:asciiTheme="majorHAnsi" w:hAnsiTheme="majorHAnsi" w:cstheme="majorHAnsi"/>
          <w:sz w:val="24"/>
          <w:szCs w:val="24"/>
          <w:lang w:val="ro-MD"/>
        </w:rPr>
        <w:t xml:space="preserve"> deținer</w:t>
      </w:r>
      <w:r w:rsidR="006B1379" w:rsidRPr="00231547">
        <w:rPr>
          <w:rFonts w:asciiTheme="majorHAnsi" w:hAnsiTheme="majorHAnsi" w:cstheme="majorHAnsi"/>
          <w:sz w:val="24"/>
          <w:szCs w:val="24"/>
          <w:lang w:val="ro-MD"/>
        </w:rPr>
        <w:t>ii</w:t>
      </w:r>
      <w:r w:rsidR="003768B5" w:rsidRPr="00231547">
        <w:rPr>
          <w:rFonts w:asciiTheme="majorHAnsi" w:hAnsiTheme="majorHAnsi" w:cstheme="majorHAnsi"/>
          <w:sz w:val="24"/>
          <w:szCs w:val="24"/>
          <w:lang w:val="ro-MD"/>
        </w:rPr>
        <w:t xml:space="preserve"> unui contract de locațiune. A</w:t>
      </w:r>
      <w:r w:rsidRPr="00231547">
        <w:rPr>
          <w:rFonts w:asciiTheme="majorHAnsi" w:hAnsiTheme="majorHAnsi" w:cstheme="majorHAnsi"/>
          <w:sz w:val="24"/>
          <w:szCs w:val="24"/>
          <w:lang w:val="ro-MD"/>
        </w:rPr>
        <w:t>ceste deficiențe</w:t>
      </w:r>
      <w:r w:rsidR="003768B5" w:rsidRPr="00231547">
        <w:rPr>
          <w:rFonts w:asciiTheme="majorHAnsi" w:hAnsiTheme="majorHAnsi" w:cstheme="majorHAnsi"/>
          <w:sz w:val="24"/>
          <w:szCs w:val="24"/>
          <w:lang w:val="ro-MD"/>
        </w:rPr>
        <w:t xml:space="preserve"> </w:t>
      </w:r>
      <w:r w:rsidR="00FE6FD7" w:rsidRPr="00231547">
        <w:rPr>
          <w:rFonts w:asciiTheme="majorHAnsi" w:hAnsiTheme="majorHAnsi" w:cstheme="majorHAnsi"/>
          <w:sz w:val="24"/>
          <w:szCs w:val="24"/>
          <w:lang w:val="ro-MD"/>
        </w:rPr>
        <w:t>necesită acțiuni</w:t>
      </w:r>
      <w:r w:rsidR="003768B5" w:rsidRPr="00231547">
        <w:rPr>
          <w:rFonts w:asciiTheme="majorHAnsi" w:hAnsiTheme="majorHAnsi" w:cstheme="majorHAnsi"/>
          <w:sz w:val="24"/>
          <w:szCs w:val="24"/>
          <w:lang w:val="ro-MD"/>
        </w:rPr>
        <w:t xml:space="preserve"> prioritare în vederea finalizării procesului de înregistrare și recunoaștere a dreptului Republicii Moldova asupra imobilelor Ambasadei Republicii Moldova în Federația Rusă.</w:t>
      </w:r>
    </w:p>
    <w:p w14:paraId="5F067CCC" w14:textId="77777777" w:rsidR="00366B78" w:rsidRPr="00231547" w:rsidRDefault="00366B78" w:rsidP="00B12D2F">
      <w:pPr>
        <w:pStyle w:val="ListParagraph"/>
        <w:ind w:left="1080"/>
        <w:jc w:val="both"/>
        <w:rPr>
          <w:rFonts w:asciiTheme="majorHAnsi" w:hAnsiTheme="majorHAnsi" w:cstheme="majorHAnsi"/>
          <w:b/>
          <w:sz w:val="8"/>
          <w:szCs w:val="8"/>
          <w:lang w:val="ro-MD"/>
        </w:rPr>
      </w:pPr>
    </w:p>
    <w:p w14:paraId="0E9E6621" w14:textId="61952CF4" w:rsidR="00F94936" w:rsidRPr="00231547" w:rsidRDefault="00F94936" w:rsidP="00B12D2F">
      <w:pPr>
        <w:pStyle w:val="ListParagraph"/>
        <w:numPr>
          <w:ilvl w:val="0"/>
          <w:numId w:val="1"/>
        </w:numPr>
        <w:jc w:val="both"/>
        <w:rPr>
          <w:rFonts w:asciiTheme="majorHAnsi" w:hAnsiTheme="majorHAnsi" w:cstheme="majorHAnsi"/>
          <w:b/>
          <w:sz w:val="24"/>
          <w:szCs w:val="24"/>
          <w:lang w:val="ro-MD"/>
        </w:rPr>
      </w:pPr>
      <w:r w:rsidRPr="00231547">
        <w:rPr>
          <w:rFonts w:asciiTheme="majorHAnsi" w:hAnsiTheme="majorHAnsi" w:cstheme="majorHAnsi"/>
          <w:b/>
          <w:sz w:val="24"/>
          <w:szCs w:val="24"/>
          <w:lang w:val="ro-MD"/>
        </w:rPr>
        <w:lastRenderedPageBreak/>
        <w:t>ASPECTELE-CHEIE DE AUDIT</w:t>
      </w:r>
    </w:p>
    <w:p w14:paraId="32EA8221" w14:textId="77777777" w:rsidR="001808E7" w:rsidRPr="00231547" w:rsidRDefault="001808E7" w:rsidP="001808E7">
      <w:pPr>
        <w:pStyle w:val="ListParagraph"/>
        <w:ind w:left="1080"/>
        <w:jc w:val="both"/>
        <w:rPr>
          <w:rFonts w:asciiTheme="majorHAnsi" w:hAnsiTheme="majorHAnsi" w:cstheme="majorHAnsi"/>
          <w:b/>
          <w:sz w:val="8"/>
          <w:szCs w:val="8"/>
          <w:lang w:val="ro-MD"/>
        </w:rPr>
      </w:pPr>
    </w:p>
    <w:p w14:paraId="30FE2B03" w14:textId="77777777" w:rsidR="0055318C" w:rsidRPr="00231547" w:rsidRDefault="0055318C" w:rsidP="0055318C">
      <w:pPr>
        <w:pStyle w:val="ListParagraph"/>
        <w:ind w:left="1080"/>
        <w:jc w:val="both"/>
        <w:rPr>
          <w:rFonts w:asciiTheme="majorHAnsi" w:hAnsiTheme="majorHAnsi" w:cstheme="majorHAnsi"/>
          <w:b/>
          <w:sz w:val="8"/>
          <w:szCs w:val="8"/>
          <w:lang w:val="ro-MD"/>
        </w:rPr>
      </w:pPr>
    </w:p>
    <w:p w14:paraId="6DC0C61E" w14:textId="0B94834D" w:rsidR="00EF003F" w:rsidRPr="00231547" w:rsidRDefault="00EF003F" w:rsidP="00B12D2F">
      <w:pPr>
        <w:pStyle w:val="ListParagraph"/>
        <w:tabs>
          <w:tab w:val="left" w:pos="720"/>
        </w:tabs>
        <w:ind w:left="0"/>
        <w:jc w:val="both"/>
        <w:rPr>
          <w:rFonts w:asciiTheme="majorHAnsi" w:hAnsiTheme="majorHAnsi" w:cstheme="majorHAnsi"/>
          <w:bCs/>
          <w:sz w:val="24"/>
          <w:szCs w:val="24"/>
          <w:lang w:val="ro-MD"/>
        </w:rPr>
      </w:pPr>
      <w:r w:rsidRPr="00231547">
        <w:rPr>
          <w:rFonts w:asciiTheme="majorHAnsi" w:eastAsia="Calibri" w:hAnsiTheme="majorHAnsi" w:cstheme="majorHAnsi"/>
          <w:sz w:val="24"/>
          <w:szCs w:val="24"/>
          <w:lang w:val="ro-MD"/>
        </w:rPr>
        <w:t xml:space="preserve">Aspecte-cheie de audit sunt acele aspecte care, în baza raționamentului nostru profesional, au avut cea mai mare importanță pentru auditul rapoartelor financiare consolidate ale Ministerului Afacerilor Externe și Integrării Europene încheiate la 31 decembrie 2020. Aceste aspecte au fost abordate în contextul auditului rapoartelor financiare în ansamblu </w:t>
      </w:r>
      <w:proofErr w:type="spellStart"/>
      <w:r w:rsidRPr="00231547">
        <w:rPr>
          <w:rFonts w:asciiTheme="majorHAnsi" w:eastAsia="Calibri" w:hAnsiTheme="majorHAnsi" w:cstheme="majorHAnsi"/>
          <w:sz w:val="24"/>
          <w:szCs w:val="24"/>
          <w:lang w:val="ro-MD"/>
        </w:rPr>
        <w:t>şi</w:t>
      </w:r>
      <w:proofErr w:type="spellEnd"/>
      <w:r w:rsidRPr="00231547">
        <w:rPr>
          <w:rFonts w:asciiTheme="majorHAnsi" w:eastAsia="Calibri" w:hAnsiTheme="majorHAnsi" w:cstheme="majorHAnsi"/>
          <w:sz w:val="24"/>
          <w:szCs w:val="24"/>
          <w:lang w:val="ro-MD"/>
        </w:rPr>
        <w:t xml:space="preserve"> al formării opiniei noastre asupra lor, </w:t>
      </w:r>
      <w:proofErr w:type="spellStart"/>
      <w:r w:rsidRPr="00231547">
        <w:rPr>
          <w:rFonts w:asciiTheme="majorHAnsi" w:eastAsia="Calibri" w:hAnsiTheme="majorHAnsi" w:cstheme="majorHAnsi"/>
          <w:sz w:val="24"/>
          <w:szCs w:val="24"/>
          <w:lang w:val="ro-MD"/>
        </w:rPr>
        <w:t>şi</w:t>
      </w:r>
      <w:proofErr w:type="spellEnd"/>
      <w:r w:rsidRPr="00231547">
        <w:rPr>
          <w:rFonts w:asciiTheme="majorHAnsi" w:eastAsia="Calibri" w:hAnsiTheme="majorHAnsi" w:cstheme="majorHAnsi"/>
          <w:sz w:val="24"/>
          <w:szCs w:val="24"/>
          <w:lang w:val="ro-MD"/>
        </w:rPr>
        <w:t xml:space="preserve"> nu oferim o opinie separată cu privire la ele. </w:t>
      </w:r>
      <w:r w:rsidRPr="00231547">
        <w:rPr>
          <w:rFonts w:asciiTheme="majorHAnsi" w:hAnsiTheme="majorHAnsi" w:cstheme="majorHAnsi"/>
          <w:bCs/>
          <w:sz w:val="24"/>
          <w:szCs w:val="24"/>
          <w:lang w:val="ro-MD"/>
        </w:rPr>
        <w:t xml:space="preserve">Cu excepția aspectelor descrise în </w:t>
      </w:r>
      <w:r w:rsidRPr="00231547">
        <w:rPr>
          <w:rFonts w:asciiTheme="majorHAnsi" w:eastAsia="Times New Roman" w:hAnsiTheme="majorHAnsi" w:cstheme="majorHAnsi"/>
          <w:sz w:val="24"/>
          <w:szCs w:val="24"/>
          <w:lang w:val="ro-MD"/>
        </w:rPr>
        <w:t>secțiunea</w:t>
      </w:r>
      <w:r w:rsidRPr="00231547">
        <w:rPr>
          <w:rFonts w:asciiTheme="majorHAnsi" w:hAnsiTheme="majorHAnsi" w:cstheme="majorHAnsi"/>
          <w:bCs/>
          <w:sz w:val="24"/>
          <w:szCs w:val="24"/>
          <w:lang w:val="ro-MD"/>
        </w:rPr>
        <w:t xml:space="preserve"> </w:t>
      </w:r>
      <w:r w:rsidRPr="00231547">
        <w:rPr>
          <w:rFonts w:asciiTheme="majorHAnsi" w:hAnsiTheme="majorHAnsi" w:cstheme="majorHAnsi"/>
          <w:bCs/>
          <w:i/>
          <w:sz w:val="24"/>
          <w:szCs w:val="24"/>
          <w:lang w:val="ro-MD"/>
        </w:rPr>
        <w:t>Baza pentru opinia cu rezerve</w:t>
      </w:r>
      <w:r w:rsidRPr="00231547">
        <w:rPr>
          <w:rFonts w:asciiTheme="majorHAnsi" w:hAnsiTheme="majorHAnsi" w:cstheme="majorHAnsi"/>
          <w:bCs/>
          <w:sz w:val="24"/>
          <w:szCs w:val="24"/>
          <w:lang w:val="ro-MD"/>
        </w:rPr>
        <w:t>, am determinat că nu mai există alte aspecte-cheie de audit care trebuie expuse în Raportul de audit.</w:t>
      </w:r>
    </w:p>
    <w:p w14:paraId="5B7DE8E7" w14:textId="77777777" w:rsidR="001808E7" w:rsidRPr="00231547" w:rsidRDefault="001808E7" w:rsidP="00B12D2F">
      <w:pPr>
        <w:pStyle w:val="ListParagraph"/>
        <w:tabs>
          <w:tab w:val="left" w:pos="720"/>
        </w:tabs>
        <w:ind w:left="0"/>
        <w:jc w:val="both"/>
        <w:rPr>
          <w:rFonts w:asciiTheme="majorHAnsi" w:hAnsiTheme="majorHAnsi" w:cstheme="majorHAnsi"/>
          <w:bCs/>
          <w:sz w:val="8"/>
          <w:szCs w:val="8"/>
          <w:lang w:val="ro-MD"/>
        </w:rPr>
      </w:pPr>
    </w:p>
    <w:p w14:paraId="263A7988" w14:textId="77777777" w:rsidR="00A817D8" w:rsidRPr="00231547" w:rsidRDefault="00A817D8" w:rsidP="00B12D2F">
      <w:pPr>
        <w:pStyle w:val="ListParagraph"/>
        <w:tabs>
          <w:tab w:val="left" w:pos="720"/>
        </w:tabs>
        <w:ind w:left="0"/>
        <w:jc w:val="both"/>
        <w:rPr>
          <w:rFonts w:asciiTheme="majorHAnsi" w:hAnsiTheme="majorHAnsi" w:cstheme="majorHAnsi"/>
          <w:sz w:val="8"/>
          <w:szCs w:val="8"/>
          <w:lang w:val="ro-MD"/>
        </w:rPr>
      </w:pPr>
    </w:p>
    <w:p w14:paraId="177D6DB4" w14:textId="644155F1" w:rsidR="00FA1ECD" w:rsidRPr="00231547" w:rsidRDefault="00F94936" w:rsidP="00B12D2F">
      <w:pPr>
        <w:pStyle w:val="ListParagraph"/>
        <w:numPr>
          <w:ilvl w:val="0"/>
          <w:numId w:val="1"/>
        </w:numPr>
        <w:jc w:val="both"/>
        <w:rPr>
          <w:rFonts w:asciiTheme="majorHAnsi" w:hAnsiTheme="majorHAnsi" w:cstheme="majorHAnsi"/>
          <w:b/>
          <w:sz w:val="24"/>
          <w:szCs w:val="24"/>
          <w:lang w:val="ro-MD"/>
        </w:rPr>
      </w:pPr>
      <w:r w:rsidRPr="00231547">
        <w:rPr>
          <w:rFonts w:asciiTheme="majorHAnsi" w:hAnsiTheme="majorHAnsi" w:cstheme="majorHAnsi"/>
          <w:b/>
          <w:sz w:val="24"/>
          <w:szCs w:val="24"/>
          <w:lang w:val="ro-MD"/>
        </w:rPr>
        <w:t>ALTE INFORMAȚII</w:t>
      </w:r>
    </w:p>
    <w:p w14:paraId="398ADA0A" w14:textId="77777777" w:rsidR="000A760F" w:rsidRPr="00231547" w:rsidRDefault="000A760F" w:rsidP="00B12D2F">
      <w:pPr>
        <w:pStyle w:val="ListParagraph"/>
        <w:ind w:left="1080"/>
        <w:jc w:val="both"/>
        <w:rPr>
          <w:rFonts w:asciiTheme="majorHAnsi" w:hAnsiTheme="majorHAnsi" w:cstheme="majorHAnsi"/>
          <w:b/>
          <w:sz w:val="8"/>
          <w:szCs w:val="8"/>
          <w:lang w:val="ro-MD"/>
        </w:rPr>
      </w:pPr>
    </w:p>
    <w:p w14:paraId="70F38C0D" w14:textId="0F7D1F32" w:rsidR="00E5749D" w:rsidRPr="00231547" w:rsidRDefault="00E5749D" w:rsidP="00E5749D">
      <w:pPr>
        <w:tabs>
          <w:tab w:val="left" w:pos="450"/>
        </w:tabs>
        <w:ind w:left="-90"/>
        <w:contextualSpacing/>
        <w:jc w:val="both"/>
        <w:rPr>
          <w:rFonts w:asciiTheme="majorHAnsi" w:eastAsia="Times New Roman" w:hAnsiTheme="majorHAnsi" w:cstheme="majorHAnsi"/>
          <w:iCs/>
          <w:sz w:val="24"/>
          <w:szCs w:val="24"/>
          <w:lang w:val="ro-MD"/>
        </w:rPr>
      </w:pPr>
      <w:r w:rsidRPr="00231547">
        <w:rPr>
          <w:rFonts w:asciiTheme="majorHAnsi" w:eastAsia="Calibri" w:hAnsiTheme="majorHAnsi" w:cstheme="majorHAnsi"/>
          <w:sz w:val="24"/>
          <w:szCs w:val="24"/>
          <w:lang w:val="ro-MD"/>
        </w:rPr>
        <w:t>S</w:t>
      </w:r>
      <w:r w:rsidRPr="00231547">
        <w:rPr>
          <w:rFonts w:asciiTheme="majorHAnsi" w:hAnsiTheme="majorHAnsi" w:cstheme="majorHAnsi"/>
          <w:sz w:val="24"/>
          <w:szCs w:val="24"/>
          <w:lang w:val="ro-MD"/>
        </w:rPr>
        <w:t>upraevaluarea cu 2,4 mil. lei a cheltuielilor pentru servicii</w:t>
      </w:r>
      <w:r w:rsidR="00FE6FD7" w:rsidRPr="00231547">
        <w:rPr>
          <w:rFonts w:asciiTheme="majorHAnsi" w:hAnsiTheme="majorHAnsi" w:cstheme="majorHAnsi"/>
          <w:sz w:val="24"/>
          <w:szCs w:val="24"/>
          <w:lang w:val="ro-MD"/>
        </w:rPr>
        <w:t>le</w:t>
      </w:r>
      <w:r w:rsidRPr="00231547">
        <w:rPr>
          <w:rFonts w:asciiTheme="majorHAnsi" w:hAnsiTheme="majorHAnsi" w:cstheme="majorHAnsi"/>
          <w:sz w:val="24"/>
          <w:szCs w:val="24"/>
          <w:lang w:val="ro-MD"/>
        </w:rPr>
        <w:t xml:space="preserve"> </w:t>
      </w:r>
      <w:r w:rsidRPr="00231547">
        <w:rPr>
          <w:rFonts w:asciiTheme="majorHAnsi" w:eastAsia="Times New Roman" w:hAnsiTheme="majorHAnsi" w:cstheme="majorHAnsi"/>
          <w:iCs/>
          <w:sz w:val="24"/>
          <w:szCs w:val="24"/>
          <w:lang w:val="ro-MD"/>
        </w:rPr>
        <w:t>de reparații curente și subevaluarea valorii mijloacelor fixe cu aceeași sumă, din care s</w:t>
      </w:r>
      <w:r w:rsidRPr="00231547">
        <w:rPr>
          <w:rFonts w:asciiTheme="majorHAnsi" w:hAnsiTheme="majorHAnsi" w:cstheme="majorHAnsi"/>
          <w:sz w:val="24"/>
          <w:szCs w:val="24"/>
          <w:lang w:val="ro-MD"/>
        </w:rPr>
        <w:t xml:space="preserve">upraevaluarea cu 0,7 mil. lei </w:t>
      </w:r>
      <w:r w:rsidR="008E79BC" w:rsidRPr="00231547">
        <w:rPr>
          <w:rFonts w:asciiTheme="majorHAnsi" w:eastAsia="Calibri" w:hAnsiTheme="majorHAnsi" w:cstheme="majorHAnsi"/>
          <w:sz w:val="24"/>
          <w:szCs w:val="24"/>
          <w:lang w:val="ro-MD"/>
        </w:rPr>
        <w:t>este</w:t>
      </w:r>
      <w:r w:rsidRPr="00231547">
        <w:rPr>
          <w:rFonts w:asciiTheme="majorHAnsi" w:eastAsia="Calibri" w:hAnsiTheme="majorHAnsi" w:cstheme="majorHAnsi"/>
          <w:sz w:val="24"/>
          <w:szCs w:val="24"/>
          <w:lang w:val="ro-MD"/>
        </w:rPr>
        <w:t xml:space="preserve"> cauzat</w:t>
      </w:r>
      <w:r w:rsidR="008E79BC" w:rsidRPr="00231547">
        <w:rPr>
          <w:rFonts w:asciiTheme="majorHAnsi" w:eastAsia="Calibri" w:hAnsiTheme="majorHAnsi" w:cstheme="majorHAnsi"/>
          <w:sz w:val="24"/>
          <w:szCs w:val="24"/>
          <w:lang w:val="ro-MD"/>
        </w:rPr>
        <w:t>ă</w:t>
      </w:r>
      <w:r w:rsidRPr="00231547">
        <w:rPr>
          <w:rFonts w:asciiTheme="majorHAnsi" w:eastAsia="Calibri" w:hAnsiTheme="majorHAnsi" w:cstheme="majorHAnsi"/>
          <w:sz w:val="24"/>
          <w:szCs w:val="24"/>
          <w:lang w:val="ro-MD"/>
        </w:rPr>
        <w:t xml:space="preserve"> de erori</w:t>
      </w:r>
      <w:r w:rsidR="00D60C17" w:rsidRPr="00231547">
        <w:rPr>
          <w:rFonts w:asciiTheme="majorHAnsi" w:eastAsia="Calibri" w:hAnsiTheme="majorHAnsi" w:cstheme="majorHAnsi"/>
          <w:sz w:val="24"/>
          <w:szCs w:val="24"/>
          <w:lang w:val="ro-MD"/>
        </w:rPr>
        <w:t>le</w:t>
      </w:r>
      <w:r w:rsidRPr="00231547">
        <w:rPr>
          <w:rFonts w:asciiTheme="majorHAnsi" w:eastAsia="Calibri" w:hAnsiTheme="majorHAnsi" w:cstheme="majorHAnsi"/>
          <w:sz w:val="24"/>
          <w:szCs w:val="24"/>
          <w:lang w:val="ro-MD"/>
        </w:rPr>
        <w:t xml:space="preserve"> admise l</w:t>
      </w:r>
      <w:r w:rsidR="00D10D9D" w:rsidRPr="00231547">
        <w:rPr>
          <w:rFonts w:asciiTheme="majorHAnsi" w:eastAsia="Calibri" w:hAnsiTheme="majorHAnsi" w:cstheme="majorHAnsi"/>
          <w:sz w:val="24"/>
          <w:szCs w:val="24"/>
          <w:lang w:val="ro-MD"/>
        </w:rPr>
        <w:t>a recunoașterea și clasificarea cheltuielilor</w:t>
      </w:r>
      <w:r w:rsidRPr="00231547">
        <w:rPr>
          <w:rFonts w:asciiTheme="majorHAnsi" w:eastAsia="Calibri" w:hAnsiTheme="majorHAnsi" w:cstheme="majorHAnsi"/>
          <w:sz w:val="24"/>
          <w:szCs w:val="24"/>
          <w:lang w:val="ro-MD"/>
        </w:rPr>
        <w:t xml:space="preserve">. </w:t>
      </w:r>
      <w:r w:rsidR="00D10D9D" w:rsidRPr="00231547">
        <w:rPr>
          <w:rFonts w:asciiTheme="majorHAnsi" w:eastAsia="Calibri" w:hAnsiTheme="majorHAnsi" w:cstheme="majorHAnsi"/>
          <w:sz w:val="24"/>
          <w:szCs w:val="24"/>
          <w:lang w:val="ro-MD"/>
        </w:rPr>
        <w:t>Mijloacele</w:t>
      </w:r>
      <w:r w:rsidRPr="00231547">
        <w:rPr>
          <w:rFonts w:asciiTheme="majorHAnsi" w:eastAsia="Calibri" w:hAnsiTheme="majorHAnsi" w:cstheme="majorHAnsi"/>
          <w:sz w:val="24"/>
          <w:szCs w:val="24"/>
          <w:lang w:val="ro-MD"/>
        </w:rPr>
        <w:t xml:space="preserve"> pentru reparația sistemului electric (0,5 mil. lei) în sediul </w:t>
      </w:r>
      <w:r w:rsidRPr="00231547">
        <w:rPr>
          <w:rFonts w:asciiTheme="majorHAnsi" w:hAnsiTheme="majorHAnsi" w:cstheme="majorHAnsi"/>
          <w:sz w:val="24"/>
          <w:szCs w:val="24"/>
          <w:lang w:val="ro-MD"/>
        </w:rPr>
        <w:t>Ambasadei Republicii Moldova în Republica Federală German</w:t>
      </w:r>
      <w:r w:rsidR="004F5000" w:rsidRPr="00231547">
        <w:rPr>
          <w:rFonts w:asciiTheme="majorHAnsi" w:hAnsiTheme="majorHAnsi" w:cstheme="majorHAnsi"/>
          <w:sz w:val="24"/>
          <w:szCs w:val="24"/>
          <w:lang w:val="ro-MD"/>
        </w:rPr>
        <w:t>ia</w:t>
      </w:r>
      <w:r w:rsidRPr="00231547">
        <w:rPr>
          <w:rFonts w:asciiTheme="majorHAnsi" w:eastAsia="Calibri" w:hAnsiTheme="majorHAnsi" w:cstheme="majorHAnsi"/>
          <w:sz w:val="24"/>
          <w:szCs w:val="24"/>
          <w:lang w:val="ro-MD"/>
        </w:rPr>
        <w:t xml:space="preserve"> </w:t>
      </w:r>
      <w:r w:rsidR="00D14404" w:rsidRPr="00231547">
        <w:rPr>
          <w:rFonts w:asciiTheme="majorHAnsi" w:eastAsia="Calibri" w:hAnsiTheme="majorHAnsi" w:cstheme="majorHAnsi"/>
          <w:sz w:val="24"/>
          <w:szCs w:val="24"/>
          <w:lang w:val="ro-MD"/>
        </w:rPr>
        <w:t>trebuiau</w:t>
      </w:r>
      <w:r w:rsidRPr="00231547">
        <w:rPr>
          <w:rFonts w:asciiTheme="majorHAnsi" w:eastAsia="Calibri" w:hAnsiTheme="majorHAnsi" w:cstheme="majorHAnsi"/>
          <w:sz w:val="24"/>
          <w:szCs w:val="24"/>
          <w:lang w:val="ro-MD"/>
        </w:rPr>
        <w:t xml:space="preserve"> reflectate la contul 311 „Majorarea valorii clădirilor”, iar Ambasada Republicii Moldova în Ungaria urma să </w:t>
      </w:r>
      <w:r w:rsidR="00D14404" w:rsidRPr="00231547">
        <w:rPr>
          <w:rFonts w:asciiTheme="majorHAnsi" w:eastAsia="Calibri" w:hAnsiTheme="majorHAnsi" w:cstheme="majorHAnsi"/>
          <w:sz w:val="24"/>
          <w:szCs w:val="24"/>
          <w:lang w:val="ro-MD"/>
        </w:rPr>
        <w:t>înregistreze</w:t>
      </w:r>
      <w:r w:rsidRPr="00231547">
        <w:rPr>
          <w:rFonts w:asciiTheme="majorHAnsi" w:eastAsia="Calibri" w:hAnsiTheme="majorHAnsi" w:cstheme="majorHAnsi"/>
          <w:sz w:val="24"/>
          <w:szCs w:val="24"/>
          <w:lang w:val="ro-MD"/>
        </w:rPr>
        <w:t xml:space="preserve"> cheltuielile la grupa de conturi 312 </w:t>
      </w:r>
      <w:r w:rsidR="00D14404" w:rsidRPr="00231547">
        <w:rPr>
          <w:rFonts w:asciiTheme="majorHAnsi" w:eastAsia="Calibri" w:hAnsiTheme="majorHAnsi" w:cstheme="majorHAnsi"/>
          <w:sz w:val="24"/>
          <w:szCs w:val="24"/>
          <w:lang w:val="ro-MD"/>
        </w:rPr>
        <w:t>„</w:t>
      </w:r>
      <w:r w:rsidRPr="00231547">
        <w:rPr>
          <w:rFonts w:asciiTheme="majorHAnsi" w:eastAsia="Calibri" w:hAnsiTheme="majorHAnsi" w:cstheme="majorHAnsi"/>
          <w:sz w:val="24"/>
          <w:szCs w:val="24"/>
          <w:lang w:val="ro-MD"/>
        </w:rPr>
        <w:t xml:space="preserve">Reparații capitale ale construcțiilor speciale” (0,1 mil. lei). </w:t>
      </w:r>
      <w:r w:rsidRPr="00231547">
        <w:rPr>
          <w:rFonts w:asciiTheme="majorHAnsi" w:hAnsiTheme="majorHAnsi" w:cstheme="majorHAnsi"/>
          <w:sz w:val="24"/>
          <w:szCs w:val="24"/>
          <w:lang w:val="ro-MD"/>
        </w:rPr>
        <w:t>Misiunea diplomatică a Republicii Moldova pe lângă UE (Bruxelles), d</w:t>
      </w:r>
      <w:r w:rsidRPr="00231547">
        <w:rPr>
          <w:rFonts w:asciiTheme="majorHAnsi" w:eastAsia="Calibri" w:hAnsiTheme="majorHAnsi" w:cstheme="majorHAnsi"/>
          <w:sz w:val="24"/>
          <w:szCs w:val="24"/>
          <w:lang w:val="ro-MD"/>
        </w:rPr>
        <w:t>in totalul cheltuielilor de 0,2 mil. lei pentru lucrările de reparație curentă a birourilor</w:t>
      </w:r>
      <w:r w:rsidRPr="00231547">
        <w:rPr>
          <w:rFonts w:asciiTheme="majorHAnsi" w:hAnsiTheme="majorHAnsi" w:cstheme="majorHAnsi"/>
          <w:sz w:val="24"/>
          <w:szCs w:val="24"/>
          <w:lang w:val="ro-MD"/>
        </w:rPr>
        <w:t>, 0,1 mil. lei</w:t>
      </w:r>
      <w:r w:rsidRPr="00231547">
        <w:rPr>
          <w:rFonts w:asciiTheme="majorHAnsi" w:eastAsia="Times New Roman" w:hAnsiTheme="majorHAnsi" w:cstheme="majorHAnsi"/>
          <w:iCs/>
          <w:sz w:val="24"/>
          <w:szCs w:val="24"/>
          <w:lang w:val="ro-MD"/>
        </w:rPr>
        <w:t xml:space="preserve"> </w:t>
      </w:r>
      <w:r w:rsidR="000209FA" w:rsidRPr="00231547">
        <w:rPr>
          <w:rFonts w:asciiTheme="majorHAnsi" w:eastAsia="Times New Roman" w:hAnsiTheme="majorHAnsi" w:cstheme="majorHAnsi"/>
          <w:iCs/>
          <w:sz w:val="24"/>
          <w:szCs w:val="24"/>
          <w:lang w:val="ro-MD"/>
        </w:rPr>
        <w:t>trebuia</w:t>
      </w:r>
      <w:r w:rsidRPr="00231547">
        <w:rPr>
          <w:rFonts w:asciiTheme="majorHAnsi" w:hAnsiTheme="majorHAnsi" w:cstheme="majorHAnsi"/>
          <w:sz w:val="24"/>
          <w:szCs w:val="24"/>
          <w:lang w:val="ro-MD"/>
        </w:rPr>
        <w:t xml:space="preserve"> să </w:t>
      </w:r>
      <w:r w:rsidR="000209FA" w:rsidRPr="00231547">
        <w:rPr>
          <w:rFonts w:asciiTheme="majorHAnsi" w:hAnsiTheme="majorHAnsi" w:cstheme="majorHAnsi"/>
          <w:sz w:val="24"/>
          <w:szCs w:val="24"/>
          <w:lang w:val="ro-MD"/>
        </w:rPr>
        <w:t>le</w:t>
      </w:r>
      <w:r w:rsidRPr="00231547">
        <w:rPr>
          <w:rFonts w:asciiTheme="majorHAnsi" w:hAnsiTheme="majorHAnsi" w:cstheme="majorHAnsi"/>
          <w:sz w:val="24"/>
          <w:szCs w:val="24"/>
          <w:lang w:val="ro-MD"/>
        </w:rPr>
        <w:t xml:space="preserve"> </w:t>
      </w:r>
      <w:r w:rsidR="000209FA" w:rsidRPr="00231547">
        <w:rPr>
          <w:rFonts w:asciiTheme="majorHAnsi" w:hAnsiTheme="majorHAnsi" w:cstheme="majorHAnsi"/>
          <w:sz w:val="24"/>
          <w:szCs w:val="24"/>
          <w:lang w:val="ro-MD"/>
        </w:rPr>
        <w:t>înregistreze</w:t>
      </w:r>
      <w:r w:rsidRPr="00231547">
        <w:rPr>
          <w:rFonts w:asciiTheme="majorHAnsi" w:hAnsiTheme="majorHAnsi" w:cstheme="majorHAnsi"/>
          <w:sz w:val="24"/>
          <w:szCs w:val="24"/>
          <w:lang w:val="ro-MD"/>
        </w:rPr>
        <w:t xml:space="preserve"> la grupa de conturi 337 </w:t>
      </w:r>
      <w:r w:rsidR="003C0248" w:rsidRPr="00231547">
        <w:rPr>
          <w:rFonts w:asciiTheme="majorHAnsi" w:hAnsiTheme="majorHAnsi" w:cstheme="majorHAnsi"/>
          <w:sz w:val="24"/>
          <w:szCs w:val="24"/>
          <w:lang w:val="ro-MD"/>
        </w:rPr>
        <w:t>„</w:t>
      </w:r>
      <w:r w:rsidRPr="00231547">
        <w:rPr>
          <w:rFonts w:asciiTheme="majorHAnsi" w:hAnsiTheme="majorHAnsi" w:cstheme="majorHAnsi"/>
          <w:sz w:val="24"/>
          <w:szCs w:val="24"/>
          <w:lang w:val="ro-MD"/>
        </w:rPr>
        <w:t xml:space="preserve">Materiale de construcții”. </w:t>
      </w:r>
      <w:r w:rsidRPr="00231547">
        <w:rPr>
          <w:rFonts w:asciiTheme="majorHAnsi" w:eastAsia="Times New Roman" w:hAnsiTheme="majorHAnsi" w:cstheme="majorHAnsi"/>
          <w:iCs/>
          <w:sz w:val="24"/>
          <w:szCs w:val="24"/>
          <w:lang w:val="ro-MD"/>
        </w:rPr>
        <w:t xml:space="preserve">Totodată, Ambasada Republicii Moldova în Federația Rusă a efectuat și </w:t>
      </w:r>
      <w:r w:rsidR="00D14404" w:rsidRPr="00231547">
        <w:rPr>
          <w:rFonts w:asciiTheme="majorHAnsi" w:eastAsia="Times New Roman" w:hAnsiTheme="majorHAnsi" w:cstheme="majorHAnsi"/>
          <w:iCs/>
          <w:sz w:val="24"/>
          <w:szCs w:val="24"/>
          <w:lang w:val="ro-MD"/>
        </w:rPr>
        <w:t xml:space="preserve">a </w:t>
      </w:r>
      <w:r w:rsidRPr="00231547">
        <w:rPr>
          <w:rFonts w:asciiTheme="majorHAnsi" w:eastAsia="Times New Roman" w:hAnsiTheme="majorHAnsi" w:cstheme="majorHAnsi"/>
          <w:iCs/>
          <w:sz w:val="24"/>
          <w:szCs w:val="24"/>
          <w:lang w:val="ro-MD"/>
        </w:rPr>
        <w:t xml:space="preserve">reflectat la contul </w:t>
      </w:r>
      <w:r w:rsidR="00D14404" w:rsidRPr="00231547">
        <w:rPr>
          <w:rFonts w:asciiTheme="majorHAnsi" w:eastAsia="Times New Roman" w:hAnsiTheme="majorHAnsi" w:cstheme="majorHAnsi"/>
          <w:iCs/>
          <w:sz w:val="24"/>
          <w:szCs w:val="24"/>
          <w:lang w:val="ro-MD"/>
        </w:rPr>
        <w:t>„R</w:t>
      </w:r>
      <w:r w:rsidRPr="00231547">
        <w:rPr>
          <w:rFonts w:asciiTheme="majorHAnsi" w:eastAsia="Times New Roman" w:hAnsiTheme="majorHAnsi" w:cstheme="majorHAnsi"/>
          <w:iCs/>
          <w:sz w:val="24"/>
          <w:szCs w:val="24"/>
          <w:lang w:val="ro-MD"/>
        </w:rPr>
        <w:t>eparații curente</w:t>
      </w:r>
      <w:r w:rsidR="00D14404" w:rsidRPr="00231547">
        <w:rPr>
          <w:rFonts w:asciiTheme="majorHAnsi" w:eastAsia="Times New Roman" w:hAnsiTheme="majorHAnsi" w:cstheme="majorHAnsi"/>
          <w:iCs/>
          <w:sz w:val="24"/>
          <w:szCs w:val="24"/>
          <w:lang w:val="ro-MD"/>
        </w:rPr>
        <w:t>”</w:t>
      </w:r>
      <w:r w:rsidRPr="00231547">
        <w:rPr>
          <w:rFonts w:asciiTheme="majorHAnsi" w:eastAsia="Times New Roman" w:hAnsiTheme="majorHAnsi" w:cstheme="majorHAnsi"/>
          <w:iCs/>
          <w:sz w:val="24"/>
          <w:szCs w:val="24"/>
          <w:lang w:val="ro-MD"/>
        </w:rPr>
        <w:t xml:space="preserve"> suma de 1,7 mil. lei, care prin natura </w:t>
      </w:r>
      <w:r w:rsidR="0053333D" w:rsidRPr="00231547">
        <w:rPr>
          <w:rFonts w:asciiTheme="majorHAnsi" w:eastAsia="Times New Roman" w:hAnsiTheme="majorHAnsi" w:cstheme="majorHAnsi"/>
          <w:iCs/>
          <w:sz w:val="24"/>
          <w:szCs w:val="24"/>
          <w:lang w:val="ro-MD"/>
        </w:rPr>
        <w:t>sa</w:t>
      </w:r>
      <w:r w:rsidRPr="00231547">
        <w:rPr>
          <w:rFonts w:asciiTheme="majorHAnsi" w:eastAsia="Times New Roman" w:hAnsiTheme="majorHAnsi" w:cstheme="majorHAnsi"/>
          <w:iCs/>
          <w:sz w:val="24"/>
          <w:szCs w:val="24"/>
          <w:lang w:val="ro-MD"/>
        </w:rPr>
        <w:t xml:space="preserve"> putea fi atribuit</w:t>
      </w:r>
      <w:r w:rsidR="0053333D" w:rsidRPr="00231547">
        <w:rPr>
          <w:rFonts w:asciiTheme="majorHAnsi" w:eastAsia="Times New Roman" w:hAnsiTheme="majorHAnsi" w:cstheme="majorHAnsi"/>
          <w:iCs/>
          <w:sz w:val="24"/>
          <w:szCs w:val="24"/>
          <w:lang w:val="ro-MD"/>
        </w:rPr>
        <w:t>ă</w:t>
      </w:r>
      <w:r w:rsidRPr="00231547">
        <w:rPr>
          <w:rFonts w:asciiTheme="majorHAnsi" w:eastAsia="Times New Roman" w:hAnsiTheme="majorHAnsi" w:cstheme="majorHAnsi"/>
          <w:iCs/>
          <w:sz w:val="24"/>
          <w:szCs w:val="24"/>
          <w:lang w:val="ro-MD"/>
        </w:rPr>
        <w:t xml:space="preserve"> ca utilizat</w:t>
      </w:r>
      <w:r w:rsidR="000209FA" w:rsidRPr="00231547">
        <w:rPr>
          <w:rFonts w:asciiTheme="majorHAnsi" w:eastAsia="Times New Roman" w:hAnsiTheme="majorHAnsi" w:cstheme="majorHAnsi"/>
          <w:iCs/>
          <w:sz w:val="24"/>
          <w:szCs w:val="24"/>
          <w:lang w:val="ro-MD"/>
        </w:rPr>
        <w:t>ă</w:t>
      </w:r>
      <w:r w:rsidRPr="00231547">
        <w:rPr>
          <w:rFonts w:asciiTheme="majorHAnsi" w:eastAsia="Times New Roman" w:hAnsiTheme="majorHAnsi" w:cstheme="majorHAnsi"/>
          <w:iCs/>
          <w:sz w:val="24"/>
          <w:szCs w:val="24"/>
          <w:lang w:val="ro-MD"/>
        </w:rPr>
        <w:t xml:space="preserve"> pentru reparația capitală a încăperilor din sediul ambasadei/secția consulară și cas</w:t>
      </w:r>
      <w:r w:rsidR="000209FA" w:rsidRPr="00231547">
        <w:rPr>
          <w:rFonts w:asciiTheme="majorHAnsi" w:eastAsia="Times New Roman" w:hAnsiTheme="majorHAnsi" w:cstheme="majorHAnsi"/>
          <w:iCs/>
          <w:sz w:val="24"/>
          <w:szCs w:val="24"/>
          <w:lang w:val="ro-MD"/>
        </w:rPr>
        <w:t>a</w:t>
      </w:r>
      <w:r w:rsidRPr="00231547">
        <w:rPr>
          <w:rFonts w:asciiTheme="majorHAnsi" w:eastAsia="Times New Roman" w:hAnsiTheme="majorHAnsi" w:cstheme="majorHAnsi"/>
          <w:iCs/>
          <w:sz w:val="24"/>
          <w:szCs w:val="24"/>
          <w:lang w:val="ro-MD"/>
        </w:rPr>
        <w:t xml:space="preserve"> de oaspeți. Totodată, auditul denotă că</w:t>
      </w:r>
      <w:r w:rsidR="000209FA" w:rsidRPr="00231547">
        <w:rPr>
          <w:rFonts w:asciiTheme="majorHAnsi" w:eastAsia="Times New Roman" w:hAnsiTheme="majorHAnsi" w:cstheme="majorHAnsi"/>
          <w:iCs/>
          <w:sz w:val="24"/>
          <w:szCs w:val="24"/>
          <w:lang w:val="ro-MD"/>
        </w:rPr>
        <w:t>,</w:t>
      </w:r>
      <w:r w:rsidRPr="00231547">
        <w:rPr>
          <w:rFonts w:asciiTheme="majorHAnsi" w:eastAsia="Times New Roman" w:hAnsiTheme="majorHAnsi" w:cstheme="majorHAnsi"/>
          <w:iCs/>
          <w:sz w:val="24"/>
          <w:szCs w:val="24"/>
          <w:lang w:val="ro-MD"/>
        </w:rPr>
        <w:t xml:space="preserve"> în ultimii opt ani</w:t>
      </w:r>
      <w:r w:rsidR="000209FA" w:rsidRPr="00231547">
        <w:rPr>
          <w:rFonts w:asciiTheme="majorHAnsi" w:eastAsia="Times New Roman" w:hAnsiTheme="majorHAnsi" w:cstheme="majorHAnsi"/>
          <w:iCs/>
          <w:sz w:val="24"/>
          <w:szCs w:val="24"/>
          <w:lang w:val="ro-MD"/>
        </w:rPr>
        <w:t>,</w:t>
      </w:r>
      <w:r w:rsidRPr="00231547">
        <w:rPr>
          <w:rFonts w:asciiTheme="majorHAnsi" w:eastAsia="Times New Roman" w:hAnsiTheme="majorHAnsi" w:cstheme="majorHAnsi"/>
          <w:iCs/>
          <w:sz w:val="24"/>
          <w:szCs w:val="24"/>
          <w:lang w:val="ro-MD"/>
        </w:rPr>
        <w:t xml:space="preserve"> pentru reparațiile sediilor asupra cărora </w:t>
      </w:r>
      <w:r w:rsidR="000209FA" w:rsidRPr="00231547">
        <w:rPr>
          <w:rFonts w:asciiTheme="majorHAnsi" w:eastAsia="Times New Roman" w:hAnsiTheme="majorHAnsi" w:cstheme="majorHAnsi"/>
          <w:iCs/>
          <w:sz w:val="24"/>
          <w:szCs w:val="24"/>
          <w:lang w:val="ro-MD"/>
        </w:rPr>
        <w:t xml:space="preserve">Republica Moldova </w:t>
      </w:r>
      <w:r w:rsidRPr="00231547">
        <w:rPr>
          <w:rFonts w:asciiTheme="majorHAnsi" w:eastAsia="Times New Roman" w:hAnsiTheme="majorHAnsi" w:cstheme="majorHAnsi"/>
          <w:iCs/>
          <w:sz w:val="24"/>
          <w:szCs w:val="24"/>
          <w:lang w:val="ro-MD"/>
        </w:rPr>
        <w:t>nu dețin</w:t>
      </w:r>
      <w:r w:rsidR="000209FA" w:rsidRPr="00231547">
        <w:rPr>
          <w:rFonts w:asciiTheme="majorHAnsi" w:eastAsia="Times New Roman" w:hAnsiTheme="majorHAnsi" w:cstheme="majorHAnsi"/>
          <w:iCs/>
          <w:sz w:val="24"/>
          <w:szCs w:val="24"/>
          <w:lang w:val="ro-MD"/>
        </w:rPr>
        <w:t>e</w:t>
      </w:r>
      <w:r w:rsidRPr="00231547">
        <w:rPr>
          <w:rFonts w:asciiTheme="majorHAnsi" w:eastAsia="Times New Roman" w:hAnsiTheme="majorHAnsi" w:cstheme="majorHAnsi"/>
          <w:iCs/>
          <w:sz w:val="24"/>
          <w:szCs w:val="24"/>
          <w:lang w:val="ro-MD"/>
        </w:rPr>
        <w:t xml:space="preserve"> dreptul de proprietate au fost utilizate 5,3 mil. lei</w:t>
      </w:r>
      <w:r w:rsidR="008E79BC" w:rsidRPr="00231547">
        <w:rPr>
          <w:rFonts w:asciiTheme="majorHAnsi" w:eastAsia="Times New Roman" w:hAnsiTheme="majorHAnsi" w:cstheme="majorHAnsi"/>
          <w:iCs/>
          <w:sz w:val="24"/>
          <w:szCs w:val="24"/>
          <w:lang w:val="ro-MD"/>
        </w:rPr>
        <w:t xml:space="preserve"> din mijloace publice</w:t>
      </w:r>
      <w:r w:rsidRPr="00231547">
        <w:rPr>
          <w:rFonts w:asciiTheme="majorHAnsi" w:eastAsia="Times New Roman" w:hAnsiTheme="majorHAnsi" w:cstheme="majorHAnsi"/>
          <w:iCs/>
          <w:sz w:val="24"/>
          <w:szCs w:val="24"/>
          <w:lang w:val="ro-MD"/>
        </w:rPr>
        <w:t>.</w:t>
      </w:r>
    </w:p>
    <w:p w14:paraId="7A032F7C" w14:textId="77777777" w:rsidR="00A817D8" w:rsidRPr="00231547" w:rsidRDefault="00A817D8" w:rsidP="00B12D2F">
      <w:pPr>
        <w:pStyle w:val="ListParagraph"/>
        <w:tabs>
          <w:tab w:val="left" w:pos="450"/>
        </w:tabs>
        <w:ind w:left="-90"/>
        <w:jc w:val="both"/>
        <w:rPr>
          <w:rFonts w:asciiTheme="majorHAnsi" w:eastAsia="Times New Roman" w:hAnsiTheme="majorHAnsi" w:cstheme="majorHAnsi"/>
          <w:iCs/>
          <w:sz w:val="8"/>
          <w:szCs w:val="8"/>
          <w:lang w:val="ro-MD"/>
        </w:rPr>
      </w:pPr>
    </w:p>
    <w:p w14:paraId="477DF16A" w14:textId="0E27B5A2" w:rsidR="004B50FB" w:rsidRPr="00231547" w:rsidRDefault="00FA6A0D" w:rsidP="00B12D2F">
      <w:pPr>
        <w:pStyle w:val="ListParagraph"/>
        <w:tabs>
          <w:tab w:val="left" w:pos="450"/>
        </w:tabs>
        <w:ind w:left="-90"/>
        <w:jc w:val="both"/>
        <w:rPr>
          <w:rFonts w:asciiTheme="majorHAnsi" w:eastAsia="Times New Roman" w:hAnsiTheme="majorHAnsi" w:cstheme="majorHAnsi"/>
          <w:iCs/>
          <w:sz w:val="24"/>
          <w:szCs w:val="24"/>
          <w:lang w:val="ro-MD"/>
        </w:rPr>
      </w:pPr>
      <w:r w:rsidRPr="00231547">
        <w:rPr>
          <w:rFonts w:asciiTheme="majorHAnsi" w:hAnsiTheme="majorHAnsi" w:cstheme="majorHAnsi"/>
          <w:sz w:val="24"/>
          <w:szCs w:val="24"/>
          <w:lang w:val="ro-MD"/>
        </w:rPr>
        <w:t>Din cauza interpretării incorecte a prevederilor cadrului de raportare financiară aplicabil, au fost admise unele erori, după cum urmează:</w:t>
      </w:r>
      <w:r w:rsidR="00F65205" w:rsidRPr="00231547">
        <w:rPr>
          <w:rFonts w:asciiTheme="majorHAnsi" w:eastAsia="Times New Roman" w:hAnsiTheme="majorHAnsi" w:cstheme="majorHAnsi"/>
          <w:iCs/>
          <w:sz w:val="24"/>
          <w:szCs w:val="24"/>
          <w:lang w:val="ro-MD"/>
        </w:rPr>
        <w:t xml:space="preserve"> </w:t>
      </w:r>
      <w:r w:rsidR="004B50FB" w:rsidRPr="00231547">
        <w:rPr>
          <w:rFonts w:asciiTheme="majorHAnsi" w:hAnsiTheme="majorHAnsi" w:cstheme="majorHAnsi"/>
          <w:sz w:val="24"/>
          <w:szCs w:val="24"/>
          <w:lang w:val="ro-MD"/>
        </w:rPr>
        <w:t>s</w:t>
      </w:r>
      <w:r w:rsidR="00BF5FB5" w:rsidRPr="00231547">
        <w:rPr>
          <w:rFonts w:asciiTheme="majorHAnsi" w:hAnsiTheme="majorHAnsi" w:cstheme="majorHAnsi"/>
          <w:sz w:val="24"/>
          <w:szCs w:val="24"/>
          <w:lang w:val="ro-MD"/>
        </w:rPr>
        <w:t>ubevaluarea grupei de conturi 332 „Pi</w:t>
      </w:r>
      <w:r w:rsidR="00D10D9D" w:rsidRPr="00231547">
        <w:rPr>
          <w:rFonts w:asciiTheme="majorHAnsi" w:hAnsiTheme="majorHAnsi" w:cstheme="majorHAnsi"/>
          <w:sz w:val="24"/>
          <w:szCs w:val="24"/>
          <w:lang w:val="ro-MD"/>
        </w:rPr>
        <w:t>ese de schimb” cu suma de 0,1 mil.</w:t>
      </w:r>
      <w:r w:rsidR="00BF5FB5" w:rsidRPr="00231547">
        <w:rPr>
          <w:rFonts w:asciiTheme="majorHAnsi" w:hAnsiTheme="majorHAnsi" w:cstheme="majorHAnsi"/>
          <w:sz w:val="24"/>
          <w:szCs w:val="24"/>
          <w:lang w:val="ro-MD"/>
        </w:rPr>
        <w:t xml:space="preserve"> lei, supraevaluarea grupei de co</w:t>
      </w:r>
      <w:r w:rsidR="00C04005" w:rsidRPr="00231547">
        <w:rPr>
          <w:rFonts w:asciiTheme="majorHAnsi" w:hAnsiTheme="majorHAnsi" w:cstheme="majorHAnsi"/>
          <w:sz w:val="24"/>
          <w:szCs w:val="24"/>
          <w:lang w:val="ro-MD"/>
        </w:rPr>
        <w:t xml:space="preserve">nturi 333 </w:t>
      </w:r>
      <w:r w:rsidR="000209FA" w:rsidRPr="00231547">
        <w:rPr>
          <w:rFonts w:asciiTheme="majorHAnsi" w:hAnsiTheme="majorHAnsi" w:cstheme="majorHAnsi"/>
          <w:sz w:val="24"/>
          <w:szCs w:val="24"/>
          <w:lang w:val="ro-MD"/>
        </w:rPr>
        <w:t>„</w:t>
      </w:r>
      <w:r w:rsidR="00C04005" w:rsidRPr="00231547">
        <w:rPr>
          <w:rFonts w:asciiTheme="majorHAnsi" w:hAnsiTheme="majorHAnsi" w:cstheme="majorHAnsi"/>
          <w:sz w:val="24"/>
          <w:szCs w:val="24"/>
          <w:lang w:val="ro-MD"/>
        </w:rPr>
        <w:t>Produse alimentare”</w:t>
      </w:r>
      <w:r w:rsidR="00D10D9D" w:rsidRPr="00231547">
        <w:rPr>
          <w:rFonts w:asciiTheme="majorHAnsi" w:hAnsiTheme="majorHAnsi" w:cstheme="majorHAnsi"/>
          <w:sz w:val="24"/>
          <w:szCs w:val="24"/>
          <w:lang w:val="ro-MD"/>
        </w:rPr>
        <w:t xml:space="preserve"> cu 0,1 mil.</w:t>
      </w:r>
      <w:r w:rsidR="00BF5FB5" w:rsidRPr="00231547">
        <w:rPr>
          <w:rFonts w:asciiTheme="majorHAnsi" w:hAnsiTheme="majorHAnsi" w:cstheme="majorHAnsi"/>
          <w:sz w:val="24"/>
          <w:szCs w:val="24"/>
          <w:lang w:val="ro-MD"/>
        </w:rPr>
        <w:t xml:space="preserve"> lei, supraevaluarea grupei de conturi 336 „Materiale de uz gospodăres</w:t>
      </w:r>
      <w:r w:rsidR="00D10D9D" w:rsidRPr="00231547">
        <w:rPr>
          <w:rFonts w:asciiTheme="majorHAnsi" w:hAnsiTheme="majorHAnsi" w:cstheme="majorHAnsi"/>
          <w:sz w:val="24"/>
          <w:szCs w:val="24"/>
          <w:lang w:val="ro-MD"/>
        </w:rPr>
        <w:t xml:space="preserve">c </w:t>
      </w:r>
      <w:proofErr w:type="spellStart"/>
      <w:r w:rsidR="00D10D9D" w:rsidRPr="00231547">
        <w:rPr>
          <w:rFonts w:asciiTheme="majorHAnsi" w:hAnsiTheme="majorHAnsi" w:cstheme="majorHAnsi"/>
          <w:sz w:val="24"/>
          <w:szCs w:val="24"/>
          <w:lang w:val="ro-MD"/>
        </w:rPr>
        <w:t>şi</w:t>
      </w:r>
      <w:proofErr w:type="spellEnd"/>
      <w:r w:rsidR="00D10D9D" w:rsidRPr="00231547">
        <w:rPr>
          <w:rFonts w:asciiTheme="majorHAnsi" w:hAnsiTheme="majorHAnsi" w:cstheme="majorHAnsi"/>
          <w:sz w:val="24"/>
          <w:szCs w:val="24"/>
          <w:lang w:val="ro-MD"/>
        </w:rPr>
        <w:t xml:space="preserve"> rechizite de birou” cu 0,1</w:t>
      </w:r>
      <w:r w:rsidR="00BF5FB5" w:rsidRPr="00231547">
        <w:rPr>
          <w:rFonts w:asciiTheme="majorHAnsi" w:hAnsiTheme="majorHAnsi" w:cstheme="majorHAnsi"/>
          <w:sz w:val="24"/>
          <w:szCs w:val="24"/>
          <w:lang w:val="ro-MD"/>
        </w:rPr>
        <w:t xml:space="preserve"> </w:t>
      </w:r>
      <w:r w:rsidR="00D10D9D" w:rsidRPr="00231547">
        <w:rPr>
          <w:rFonts w:asciiTheme="majorHAnsi" w:hAnsiTheme="majorHAnsi" w:cstheme="majorHAnsi"/>
          <w:sz w:val="24"/>
          <w:szCs w:val="24"/>
          <w:lang w:val="ro-MD"/>
        </w:rPr>
        <w:t>mil.</w:t>
      </w:r>
      <w:r w:rsidR="000209FA" w:rsidRPr="00231547">
        <w:rPr>
          <w:rFonts w:asciiTheme="majorHAnsi" w:hAnsiTheme="majorHAnsi" w:cstheme="majorHAnsi"/>
          <w:sz w:val="24"/>
          <w:szCs w:val="24"/>
          <w:lang w:val="ro-MD"/>
        </w:rPr>
        <w:t xml:space="preserve"> lei </w:t>
      </w:r>
      <w:r w:rsidR="00BF5FB5" w:rsidRPr="00231547">
        <w:rPr>
          <w:rFonts w:asciiTheme="majorHAnsi" w:hAnsiTheme="majorHAnsi" w:cstheme="majorHAnsi"/>
          <w:sz w:val="24"/>
          <w:szCs w:val="24"/>
          <w:lang w:val="ro-MD"/>
        </w:rPr>
        <w:t xml:space="preserve">și </w:t>
      </w:r>
      <w:r w:rsidR="00C04005" w:rsidRPr="00231547">
        <w:rPr>
          <w:rFonts w:asciiTheme="majorHAnsi" w:hAnsiTheme="majorHAnsi" w:cstheme="majorHAnsi"/>
          <w:sz w:val="24"/>
          <w:szCs w:val="24"/>
          <w:lang w:val="ro-MD"/>
        </w:rPr>
        <w:t>subevaluarea grupei de conturi 339</w:t>
      </w:r>
      <w:r w:rsidR="00BF5FB5" w:rsidRPr="00231547">
        <w:rPr>
          <w:rFonts w:asciiTheme="majorHAnsi" w:hAnsiTheme="majorHAnsi" w:cstheme="majorHAnsi"/>
          <w:sz w:val="24"/>
          <w:szCs w:val="24"/>
          <w:lang w:val="ro-MD"/>
        </w:rPr>
        <w:t xml:space="preserve"> </w:t>
      </w:r>
      <w:r w:rsidR="000209FA" w:rsidRPr="00231547">
        <w:rPr>
          <w:rFonts w:asciiTheme="majorHAnsi" w:hAnsiTheme="majorHAnsi" w:cstheme="majorHAnsi"/>
          <w:sz w:val="24"/>
          <w:szCs w:val="24"/>
          <w:lang w:val="ro-MD"/>
        </w:rPr>
        <w:t>„</w:t>
      </w:r>
      <w:r w:rsidR="00D10D9D" w:rsidRPr="00231547">
        <w:rPr>
          <w:rFonts w:asciiTheme="majorHAnsi" w:hAnsiTheme="majorHAnsi" w:cstheme="majorHAnsi"/>
          <w:sz w:val="24"/>
          <w:szCs w:val="24"/>
          <w:lang w:val="ro-MD"/>
        </w:rPr>
        <w:t>Alte materiale” cu suma de 0,2 mil.</w:t>
      </w:r>
      <w:r w:rsidR="00BF5FB5" w:rsidRPr="00231547">
        <w:rPr>
          <w:rFonts w:asciiTheme="majorHAnsi" w:hAnsiTheme="majorHAnsi" w:cstheme="majorHAnsi"/>
          <w:sz w:val="24"/>
          <w:szCs w:val="24"/>
          <w:lang w:val="ro-MD"/>
        </w:rPr>
        <w:t xml:space="preserve"> lei. </w:t>
      </w:r>
    </w:p>
    <w:p w14:paraId="4C33A561" w14:textId="77777777" w:rsidR="004328CE" w:rsidRPr="00231547" w:rsidRDefault="004328CE" w:rsidP="00B12D2F">
      <w:pPr>
        <w:pStyle w:val="ListParagraph"/>
        <w:ind w:left="-90"/>
        <w:jc w:val="both"/>
        <w:rPr>
          <w:rFonts w:asciiTheme="majorHAnsi" w:hAnsiTheme="majorHAnsi" w:cstheme="majorHAnsi"/>
          <w:sz w:val="8"/>
          <w:szCs w:val="8"/>
          <w:lang w:val="ro-MD"/>
        </w:rPr>
      </w:pPr>
    </w:p>
    <w:p w14:paraId="132C4E8E" w14:textId="50CC393A" w:rsidR="00A817D8" w:rsidRPr="00231547" w:rsidRDefault="005E6D5C" w:rsidP="00B12D2F">
      <w:pPr>
        <w:pStyle w:val="ListParagraph"/>
        <w:ind w:left="-90"/>
        <w:jc w:val="both"/>
        <w:rPr>
          <w:rFonts w:asciiTheme="majorHAnsi" w:hAnsiTheme="majorHAnsi" w:cstheme="majorHAnsi"/>
          <w:sz w:val="24"/>
          <w:szCs w:val="24"/>
          <w:lang w:val="ro-MD"/>
        </w:rPr>
      </w:pPr>
      <w:r w:rsidRPr="00231547">
        <w:rPr>
          <w:rFonts w:asciiTheme="majorHAnsi" w:hAnsiTheme="majorHAnsi" w:cstheme="majorHAnsi"/>
          <w:sz w:val="24"/>
          <w:szCs w:val="24"/>
          <w:lang w:val="ro-MD"/>
        </w:rPr>
        <w:t>Lipsa</w:t>
      </w:r>
      <w:r w:rsidR="004B50FB" w:rsidRPr="00231547">
        <w:rPr>
          <w:rFonts w:asciiTheme="majorHAnsi" w:hAnsiTheme="majorHAnsi" w:cstheme="majorHAnsi"/>
          <w:sz w:val="24"/>
          <w:szCs w:val="24"/>
          <w:lang w:val="ro-MD"/>
        </w:rPr>
        <w:t xml:space="preserve"> unor reglementări</w:t>
      </w:r>
      <w:r w:rsidR="005F1B77" w:rsidRPr="00231547">
        <w:rPr>
          <w:rFonts w:asciiTheme="majorHAnsi" w:hAnsiTheme="majorHAnsi" w:cstheme="majorHAnsi"/>
          <w:sz w:val="24"/>
          <w:szCs w:val="24"/>
          <w:lang w:val="ro-MD"/>
        </w:rPr>
        <w:t xml:space="preserve"> </w:t>
      </w:r>
      <w:r w:rsidR="002D3984" w:rsidRPr="00231547">
        <w:rPr>
          <w:rFonts w:asciiTheme="majorHAnsi" w:hAnsiTheme="majorHAnsi" w:cstheme="majorHAnsi"/>
          <w:sz w:val="24"/>
          <w:szCs w:val="24"/>
          <w:lang w:val="ro-MD"/>
        </w:rPr>
        <w:t xml:space="preserve">interne incluse în politica de contabilitate pentru instituirea măsurilor de control asupra reflectării în evidența </w:t>
      </w:r>
      <w:r w:rsidR="00BF5FB5" w:rsidRPr="00231547">
        <w:rPr>
          <w:rFonts w:asciiTheme="majorHAnsi" w:hAnsiTheme="majorHAnsi" w:cstheme="majorHAnsi"/>
          <w:sz w:val="24"/>
          <w:szCs w:val="24"/>
          <w:lang w:val="ro-MD"/>
        </w:rPr>
        <w:t xml:space="preserve">contabilă de către instituțiile din subordinea </w:t>
      </w:r>
      <w:r w:rsidR="00296492" w:rsidRPr="00231547">
        <w:rPr>
          <w:rFonts w:asciiTheme="majorHAnsi" w:hAnsiTheme="majorHAnsi" w:cstheme="majorHAnsi"/>
          <w:sz w:val="24"/>
          <w:szCs w:val="24"/>
          <w:lang w:val="ro-MD"/>
        </w:rPr>
        <w:t xml:space="preserve">Ministerului Afacerilor Externe și Integrării Europene </w:t>
      </w:r>
      <w:r w:rsidR="00D10D9D" w:rsidRPr="00231547">
        <w:rPr>
          <w:rFonts w:asciiTheme="majorHAnsi" w:hAnsiTheme="majorHAnsi" w:cstheme="majorHAnsi"/>
          <w:sz w:val="24"/>
          <w:szCs w:val="24"/>
          <w:lang w:val="ro-MD"/>
        </w:rPr>
        <w:t>a unor</w:t>
      </w:r>
      <w:r w:rsidR="00BF5FB5" w:rsidRPr="00231547">
        <w:rPr>
          <w:rFonts w:asciiTheme="majorHAnsi" w:hAnsiTheme="majorHAnsi" w:cstheme="majorHAnsi"/>
          <w:sz w:val="24"/>
          <w:szCs w:val="24"/>
          <w:lang w:val="ro-MD"/>
        </w:rPr>
        <w:t xml:space="preserve"> stocuri de materiale circulante determină r</w:t>
      </w:r>
      <w:r w:rsidR="005D3FCE" w:rsidRPr="00231547">
        <w:rPr>
          <w:rFonts w:asciiTheme="majorHAnsi" w:hAnsiTheme="majorHAnsi" w:cstheme="majorHAnsi"/>
          <w:sz w:val="24"/>
          <w:szCs w:val="24"/>
          <w:lang w:val="ro-MD"/>
        </w:rPr>
        <w:t>aportarea eronată</w:t>
      </w:r>
      <w:r w:rsidR="008E79BC" w:rsidRPr="00231547">
        <w:rPr>
          <w:rFonts w:asciiTheme="majorHAnsi" w:hAnsiTheme="majorHAnsi" w:cstheme="majorHAnsi"/>
          <w:sz w:val="24"/>
          <w:szCs w:val="24"/>
          <w:lang w:val="ro-MD"/>
        </w:rPr>
        <w:t xml:space="preserve"> a acestora</w:t>
      </w:r>
      <w:r w:rsidR="00BF5FB5" w:rsidRPr="00231547">
        <w:rPr>
          <w:rFonts w:asciiTheme="majorHAnsi" w:hAnsiTheme="majorHAnsi" w:cstheme="majorHAnsi"/>
          <w:sz w:val="24"/>
          <w:szCs w:val="24"/>
          <w:lang w:val="ro-MD"/>
        </w:rPr>
        <w:t xml:space="preserve">. Astfel, unele și aceleași materiale au fost raportate </w:t>
      </w:r>
      <w:r w:rsidR="000209FA" w:rsidRPr="00231547">
        <w:rPr>
          <w:rFonts w:asciiTheme="majorHAnsi" w:hAnsiTheme="majorHAnsi" w:cstheme="majorHAnsi"/>
          <w:sz w:val="24"/>
          <w:szCs w:val="24"/>
          <w:lang w:val="ro-MD"/>
        </w:rPr>
        <w:t xml:space="preserve">la diferite grupe de conturi </w:t>
      </w:r>
      <w:r w:rsidR="00BF5FB5" w:rsidRPr="00231547">
        <w:rPr>
          <w:rFonts w:asciiTheme="majorHAnsi" w:hAnsiTheme="majorHAnsi" w:cstheme="majorHAnsi"/>
          <w:sz w:val="24"/>
          <w:szCs w:val="24"/>
          <w:lang w:val="ro-MD"/>
        </w:rPr>
        <w:t xml:space="preserve">de către </w:t>
      </w:r>
      <w:r w:rsidR="00296492" w:rsidRPr="00231547">
        <w:rPr>
          <w:rFonts w:asciiTheme="majorHAnsi" w:hAnsiTheme="majorHAnsi" w:cstheme="majorHAnsi"/>
          <w:sz w:val="24"/>
          <w:szCs w:val="24"/>
          <w:lang w:val="ro-MD"/>
        </w:rPr>
        <w:t>Ministerul Afacerilor Externe și Integrării Europene</w:t>
      </w:r>
      <w:r w:rsidR="00BF5FB5" w:rsidRPr="00231547">
        <w:rPr>
          <w:rFonts w:asciiTheme="majorHAnsi" w:hAnsiTheme="majorHAnsi" w:cstheme="majorHAnsi"/>
          <w:sz w:val="24"/>
          <w:szCs w:val="24"/>
          <w:lang w:val="ro-MD"/>
        </w:rPr>
        <w:t xml:space="preserve"> și instituțiile subordonate.</w:t>
      </w:r>
    </w:p>
    <w:p w14:paraId="45BC4A8D" w14:textId="77777777" w:rsidR="001808E7" w:rsidRPr="00231547" w:rsidRDefault="001808E7" w:rsidP="00B12D2F">
      <w:pPr>
        <w:pStyle w:val="ListParagraph"/>
        <w:ind w:left="-90"/>
        <w:jc w:val="both"/>
        <w:rPr>
          <w:rFonts w:asciiTheme="majorHAnsi" w:hAnsiTheme="majorHAnsi" w:cstheme="majorHAnsi"/>
          <w:sz w:val="8"/>
          <w:szCs w:val="8"/>
          <w:lang w:val="ro-MD"/>
        </w:rPr>
      </w:pPr>
    </w:p>
    <w:p w14:paraId="6E0F5686" w14:textId="77777777" w:rsidR="001E532C" w:rsidRPr="00231547" w:rsidRDefault="001E532C" w:rsidP="00B12D2F">
      <w:pPr>
        <w:pStyle w:val="ListParagraph"/>
        <w:ind w:left="0"/>
        <w:jc w:val="both"/>
        <w:rPr>
          <w:rFonts w:asciiTheme="majorHAnsi" w:hAnsiTheme="majorHAnsi" w:cstheme="majorHAnsi"/>
          <w:b/>
          <w:sz w:val="8"/>
          <w:szCs w:val="8"/>
          <w:lang w:val="ro-MD"/>
        </w:rPr>
      </w:pPr>
    </w:p>
    <w:p w14:paraId="5D774DB6" w14:textId="77777777" w:rsidR="002C6BCC" w:rsidRPr="00231547" w:rsidRDefault="00F94936" w:rsidP="00B12D2F">
      <w:pPr>
        <w:pStyle w:val="ListParagraph"/>
        <w:numPr>
          <w:ilvl w:val="0"/>
          <w:numId w:val="1"/>
        </w:numPr>
        <w:rPr>
          <w:rFonts w:asciiTheme="majorHAnsi" w:hAnsiTheme="majorHAnsi" w:cstheme="majorHAnsi"/>
          <w:b/>
          <w:sz w:val="24"/>
          <w:szCs w:val="24"/>
          <w:lang w:val="ro-MD"/>
        </w:rPr>
      </w:pPr>
      <w:r w:rsidRPr="00231547">
        <w:rPr>
          <w:rFonts w:asciiTheme="majorHAnsi" w:hAnsiTheme="majorHAnsi" w:cstheme="majorHAnsi"/>
          <w:b/>
          <w:sz w:val="24"/>
          <w:szCs w:val="24"/>
          <w:lang w:val="ro-MD"/>
        </w:rPr>
        <w:t>BUNA GUVERNANȚĂ</w:t>
      </w:r>
    </w:p>
    <w:p w14:paraId="44ED22D9" w14:textId="77777777" w:rsidR="002C6BCC" w:rsidRPr="00231547" w:rsidRDefault="002C6BCC" w:rsidP="00B12D2F">
      <w:pPr>
        <w:pStyle w:val="ListParagraph"/>
        <w:ind w:left="0"/>
        <w:rPr>
          <w:rFonts w:asciiTheme="majorHAnsi" w:hAnsiTheme="majorHAnsi" w:cstheme="majorHAnsi"/>
          <w:b/>
          <w:sz w:val="8"/>
          <w:szCs w:val="8"/>
          <w:lang w:val="ro-MD"/>
        </w:rPr>
      </w:pPr>
    </w:p>
    <w:p w14:paraId="585EAF9B" w14:textId="77777777" w:rsidR="00BA3295" w:rsidRPr="00231547" w:rsidRDefault="00BA3295" w:rsidP="00B12D2F">
      <w:pPr>
        <w:pStyle w:val="ListParagraph"/>
        <w:numPr>
          <w:ilvl w:val="1"/>
          <w:numId w:val="1"/>
        </w:numPr>
        <w:ind w:left="0" w:firstLine="0"/>
        <w:jc w:val="both"/>
        <w:rPr>
          <w:rFonts w:asciiTheme="majorHAnsi" w:hAnsiTheme="majorHAnsi" w:cstheme="majorHAnsi"/>
          <w:sz w:val="24"/>
          <w:szCs w:val="24"/>
          <w:lang w:val="ro-MD"/>
        </w:rPr>
      </w:pPr>
      <w:r w:rsidRPr="00231547">
        <w:rPr>
          <w:rFonts w:asciiTheme="majorHAnsi" w:hAnsiTheme="majorHAnsi" w:cstheme="majorHAnsi"/>
          <w:sz w:val="24"/>
          <w:szCs w:val="24"/>
          <w:lang w:val="ro-MD"/>
        </w:rPr>
        <w:t xml:space="preserve"> </w:t>
      </w:r>
      <w:r w:rsidR="002C6BCC" w:rsidRPr="00231547">
        <w:rPr>
          <w:rFonts w:asciiTheme="majorHAnsi" w:hAnsiTheme="majorHAnsi" w:cstheme="majorHAnsi"/>
          <w:sz w:val="24"/>
          <w:szCs w:val="24"/>
          <w:lang w:val="ro-MD"/>
        </w:rPr>
        <w:t xml:space="preserve">În cadrul Ministerului Afacerilor Externe și Integrării Europene și entităților din subordine, controlul intern managerial este implementat parțial. </w:t>
      </w:r>
      <w:r w:rsidRPr="00231547">
        <w:rPr>
          <w:rFonts w:asciiTheme="majorHAnsi" w:hAnsiTheme="majorHAnsi" w:cstheme="majorHAnsi"/>
          <w:sz w:val="24"/>
          <w:szCs w:val="24"/>
          <w:lang w:val="ro-MD"/>
        </w:rPr>
        <w:t>Acesta nu asigură pe deplin funcționalitatea controalelor-cheie, precum și identificarea și gestionarea riscurilor aferente procesului financiar-</w:t>
      </w:r>
      <w:r w:rsidRPr="00231547">
        <w:rPr>
          <w:rFonts w:asciiTheme="majorHAnsi" w:hAnsiTheme="majorHAnsi" w:cstheme="majorHAnsi"/>
          <w:sz w:val="24"/>
          <w:szCs w:val="24"/>
          <w:lang w:val="ro-MD"/>
        </w:rPr>
        <w:lastRenderedPageBreak/>
        <w:t xml:space="preserve">contabil. Lacunele existente în cadrul sistemului de control intern managerial au determinat, în mare parte, denaturările și/sau observațiile menționate în prezentul Raport. </w:t>
      </w:r>
    </w:p>
    <w:p w14:paraId="211D7EEB" w14:textId="45AC8AB6" w:rsidR="00D170D1" w:rsidRPr="00231547" w:rsidRDefault="00D170D1" w:rsidP="00B12D2F">
      <w:pPr>
        <w:contextualSpacing/>
        <w:jc w:val="both"/>
        <w:rPr>
          <w:rFonts w:asciiTheme="majorHAnsi" w:hAnsiTheme="majorHAnsi" w:cstheme="majorHAnsi"/>
          <w:sz w:val="24"/>
          <w:szCs w:val="24"/>
          <w:lang w:val="ro-MD"/>
        </w:rPr>
      </w:pPr>
      <w:r w:rsidRPr="00231547">
        <w:rPr>
          <w:rFonts w:asciiTheme="majorHAnsi" w:hAnsiTheme="majorHAnsi" w:cstheme="majorHAnsi"/>
          <w:sz w:val="24"/>
          <w:szCs w:val="24"/>
          <w:lang w:val="ro-MD"/>
        </w:rPr>
        <w:t>Activitățile de control realizate prin intermediul sistemelor informaționale, care s</w:t>
      </w:r>
      <w:r w:rsidR="007B15C8" w:rsidRPr="00231547">
        <w:rPr>
          <w:rFonts w:asciiTheme="majorHAnsi" w:hAnsiTheme="majorHAnsi" w:cstheme="majorHAnsi"/>
          <w:sz w:val="24"/>
          <w:szCs w:val="24"/>
          <w:lang w:val="ro-MD"/>
        </w:rPr>
        <w:t>u</w:t>
      </w:r>
      <w:r w:rsidRPr="00231547">
        <w:rPr>
          <w:rFonts w:asciiTheme="majorHAnsi" w:hAnsiTheme="majorHAnsi" w:cstheme="majorHAnsi"/>
          <w:sz w:val="24"/>
          <w:szCs w:val="24"/>
          <w:lang w:val="ro-MD"/>
        </w:rPr>
        <w:t>nt parte integrantă a controlului intern managerial al entității</w:t>
      </w:r>
      <w:r w:rsidR="007B15C8" w:rsidRPr="00231547">
        <w:rPr>
          <w:rFonts w:asciiTheme="majorHAnsi" w:hAnsiTheme="majorHAnsi" w:cstheme="majorHAnsi"/>
          <w:sz w:val="24"/>
          <w:szCs w:val="24"/>
          <w:lang w:val="ro-MD"/>
        </w:rPr>
        <w:t>,</w:t>
      </w:r>
      <w:r w:rsidRPr="00231547">
        <w:rPr>
          <w:rFonts w:asciiTheme="majorHAnsi" w:hAnsiTheme="majorHAnsi" w:cstheme="majorHAnsi"/>
          <w:sz w:val="24"/>
          <w:szCs w:val="24"/>
          <w:lang w:val="ro-MD"/>
        </w:rPr>
        <w:t xml:space="preserve"> sunt la un nivel scăzut. </w:t>
      </w:r>
      <w:r w:rsidR="00296492" w:rsidRPr="00231547">
        <w:rPr>
          <w:rFonts w:asciiTheme="majorHAnsi" w:hAnsiTheme="majorHAnsi" w:cstheme="majorHAnsi"/>
          <w:sz w:val="24"/>
          <w:szCs w:val="24"/>
          <w:lang w:val="ro-MD"/>
        </w:rPr>
        <w:t>Ministerul Afacerilor Externe și Integrării Europene</w:t>
      </w:r>
      <w:r w:rsidRPr="00231547">
        <w:rPr>
          <w:rFonts w:asciiTheme="majorHAnsi" w:hAnsiTheme="majorHAnsi" w:cstheme="majorHAnsi"/>
          <w:sz w:val="24"/>
          <w:szCs w:val="24"/>
          <w:lang w:val="ro-MD"/>
        </w:rPr>
        <w:t xml:space="preserve"> nu are aprobate și implementate</w:t>
      </w:r>
      <w:r w:rsidRPr="00231547">
        <w:rPr>
          <w:rStyle w:val="FootnoteReference"/>
          <w:rFonts w:asciiTheme="majorHAnsi" w:hAnsiTheme="majorHAnsi" w:cstheme="majorHAnsi"/>
          <w:sz w:val="24"/>
          <w:szCs w:val="24"/>
          <w:lang w:val="ro-MD"/>
        </w:rPr>
        <w:footnoteReference w:id="3"/>
      </w:r>
      <w:r w:rsidRPr="00231547">
        <w:rPr>
          <w:rFonts w:asciiTheme="majorHAnsi" w:hAnsiTheme="majorHAnsi" w:cstheme="majorHAnsi"/>
          <w:sz w:val="24"/>
          <w:szCs w:val="24"/>
          <w:lang w:val="ro-MD"/>
        </w:rPr>
        <w:t>: planul de acțiuni pentru asigurarea securității cibernetice al instituției, planul de instruire și responsabilizare în securitatea cibernetică a personalului, regulamentele interne de securitate cibernetică, procedurile de recuperare etc.</w:t>
      </w:r>
      <w:r w:rsidR="008E79BC" w:rsidRPr="00231547">
        <w:rPr>
          <w:rFonts w:asciiTheme="majorHAnsi" w:hAnsiTheme="majorHAnsi" w:cstheme="majorHAnsi"/>
          <w:sz w:val="24"/>
          <w:szCs w:val="24"/>
          <w:lang w:val="ro-MD"/>
        </w:rPr>
        <w:t>, iar politica de securitate cibernetică a instituției este una formală și învechită.</w:t>
      </w:r>
      <w:r w:rsidRPr="00231547">
        <w:rPr>
          <w:rFonts w:asciiTheme="majorHAnsi" w:hAnsiTheme="majorHAnsi" w:cstheme="majorHAnsi"/>
          <w:sz w:val="24"/>
          <w:szCs w:val="24"/>
          <w:lang w:val="ro-MD"/>
        </w:rPr>
        <w:t xml:space="preserve"> Astfel, </w:t>
      </w:r>
      <w:r w:rsidR="00296492" w:rsidRPr="00231547">
        <w:rPr>
          <w:rFonts w:asciiTheme="majorHAnsi" w:hAnsiTheme="majorHAnsi" w:cstheme="majorHAnsi"/>
          <w:sz w:val="24"/>
          <w:szCs w:val="24"/>
          <w:lang w:val="ro-MD"/>
        </w:rPr>
        <w:t xml:space="preserve">Ministerul Afacerilor Externe și Integrării Europene </w:t>
      </w:r>
      <w:r w:rsidR="0082480F" w:rsidRPr="00231547">
        <w:rPr>
          <w:rFonts w:asciiTheme="majorHAnsi" w:hAnsiTheme="majorHAnsi" w:cstheme="majorHAnsi"/>
          <w:sz w:val="24"/>
          <w:szCs w:val="24"/>
          <w:lang w:val="ro-MD"/>
        </w:rPr>
        <w:t>ar putea fi vulnerabil</w:t>
      </w:r>
      <w:r w:rsidRPr="00231547">
        <w:rPr>
          <w:rFonts w:asciiTheme="majorHAnsi" w:hAnsiTheme="majorHAnsi" w:cstheme="majorHAnsi"/>
          <w:sz w:val="24"/>
          <w:szCs w:val="24"/>
          <w:lang w:val="ro-MD"/>
        </w:rPr>
        <w:t xml:space="preserve"> pe segmentul securitatea și integritatea tuturor programelor, inclusiv </w:t>
      </w:r>
      <w:r w:rsidR="003E403B" w:rsidRPr="00231547">
        <w:rPr>
          <w:rFonts w:asciiTheme="majorHAnsi" w:hAnsiTheme="majorHAnsi" w:cstheme="majorHAnsi"/>
          <w:sz w:val="24"/>
          <w:szCs w:val="24"/>
          <w:lang w:val="ro-MD"/>
        </w:rPr>
        <w:t xml:space="preserve">a </w:t>
      </w:r>
      <w:r w:rsidRPr="00231547">
        <w:rPr>
          <w:rFonts w:asciiTheme="majorHAnsi" w:hAnsiTheme="majorHAnsi" w:cstheme="majorHAnsi"/>
          <w:sz w:val="24"/>
          <w:szCs w:val="24"/>
          <w:lang w:val="ro-MD"/>
        </w:rPr>
        <w:t>celor contabile</w:t>
      </w:r>
      <w:r w:rsidR="008410FB" w:rsidRPr="00231547">
        <w:rPr>
          <w:rFonts w:asciiTheme="majorHAnsi" w:hAnsiTheme="majorHAnsi" w:cstheme="majorHAnsi"/>
          <w:sz w:val="24"/>
          <w:szCs w:val="24"/>
          <w:lang w:val="ro-MD"/>
        </w:rPr>
        <w:t>,</w:t>
      </w:r>
      <w:r w:rsidRPr="00231547">
        <w:rPr>
          <w:rFonts w:asciiTheme="majorHAnsi" w:hAnsiTheme="majorHAnsi" w:cstheme="majorHAnsi"/>
          <w:sz w:val="24"/>
          <w:szCs w:val="24"/>
          <w:lang w:val="ro-MD"/>
        </w:rPr>
        <w:t xml:space="preserve"> precum și față de persoanele fizice </w:t>
      </w:r>
      <w:r w:rsidR="003E403B" w:rsidRPr="00231547">
        <w:rPr>
          <w:rFonts w:asciiTheme="majorHAnsi" w:hAnsiTheme="majorHAnsi" w:cstheme="majorHAnsi"/>
          <w:sz w:val="24"/>
          <w:szCs w:val="24"/>
          <w:lang w:val="ro-MD"/>
        </w:rPr>
        <w:t xml:space="preserve">angajate </w:t>
      </w:r>
      <w:r w:rsidRPr="00231547">
        <w:rPr>
          <w:rFonts w:asciiTheme="majorHAnsi" w:hAnsiTheme="majorHAnsi" w:cstheme="majorHAnsi"/>
          <w:sz w:val="24"/>
          <w:szCs w:val="24"/>
          <w:lang w:val="ro-MD"/>
        </w:rPr>
        <w:t xml:space="preserve">prin contract </w:t>
      </w:r>
      <w:r w:rsidR="003E403B" w:rsidRPr="00231547">
        <w:rPr>
          <w:rFonts w:asciiTheme="majorHAnsi" w:hAnsiTheme="majorHAnsi" w:cstheme="majorHAnsi"/>
          <w:sz w:val="24"/>
          <w:szCs w:val="24"/>
          <w:lang w:val="ro-MD"/>
        </w:rPr>
        <w:t xml:space="preserve">de </w:t>
      </w:r>
      <w:r w:rsidRPr="00231547">
        <w:rPr>
          <w:rFonts w:asciiTheme="majorHAnsi" w:hAnsiTheme="majorHAnsi" w:cstheme="majorHAnsi"/>
          <w:sz w:val="24"/>
          <w:szCs w:val="24"/>
          <w:lang w:val="ro-MD"/>
        </w:rPr>
        <w:t xml:space="preserve">prestări servicii, care acordă servicii de consultanță, dezvoltare soft și asistență. Totodată, contractele încheiate nu stabilesc reglementări interne de securitate cibernetică a instituției pe care trebuie să le </w:t>
      </w:r>
      <w:r w:rsidR="00174F33" w:rsidRPr="00231547">
        <w:rPr>
          <w:rFonts w:asciiTheme="majorHAnsi" w:hAnsiTheme="majorHAnsi" w:cstheme="majorHAnsi"/>
          <w:sz w:val="24"/>
          <w:szCs w:val="24"/>
          <w:lang w:val="ro-MD"/>
        </w:rPr>
        <w:t xml:space="preserve">respecte </w:t>
      </w:r>
      <w:r w:rsidRPr="00231547">
        <w:rPr>
          <w:rFonts w:asciiTheme="majorHAnsi" w:hAnsiTheme="majorHAnsi" w:cstheme="majorHAnsi"/>
          <w:sz w:val="24"/>
          <w:szCs w:val="24"/>
          <w:lang w:val="ro-MD"/>
        </w:rPr>
        <w:t>prestatorul de servicii, dreptul instituției de a monitoriza continuu calitatea serviciilor furnizate și nu are pârghii de control asupra sistemului,</w:t>
      </w:r>
      <w:r w:rsidR="00984584" w:rsidRPr="00231547">
        <w:rPr>
          <w:rFonts w:asciiTheme="majorHAnsi" w:hAnsiTheme="majorHAnsi" w:cstheme="majorHAnsi"/>
          <w:sz w:val="24"/>
          <w:szCs w:val="24"/>
          <w:lang w:val="ro-MD"/>
        </w:rPr>
        <w:t xml:space="preserve"> acest</w:t>
      </w:r>
      <w:r w:rsidR="00174F33" w:rsidRPr="00231547">
        <w:rPr>
          <w:rFonts w:asciiTheme="majorHAnsi" w:hAnsiTheme="majorHAnsi" w:cstheme="majorHAnsi"/>
          <w:sz w:val="24"/>
          <w:szCs w:val="24"/>
          <w:lang w:val="ro-MD"/>
        </w:rPr>
        <w:t>e</w:t>
      </w:r>
      <w:r w:rsidR="00984584" w:rsidRPr="00231547">
        <w:rPr>
          <w:rFonts w:asciiTheme="majorHAnsi" w:hAnsiTheme="majorHAnsi" w:cstheme="majorHAnsi"/>
          <w:sz w:val="24"/>
          <w:szCs w:val="24"/>
          <w:lang w:val="ro-MD"/>
        </w:rPr>
        <w:t>a</w:t>
      </w:r>
      <w:r w:rsidRPr="00231547">
        <w:rPr>
          <w:rFonts w:asciiTheme="majorHAnsi" w:hAnsiTheme="majorHAnsi" w:cstheme="majorHAnsi"/>
          <w:sz w:val="24"/>
          <w:szCs w:val="24"/>
          <w:lang w:val="ro-MD"/>
        </w:rPr>
        <w:t xml:space="preserve"> fiind deținute de UNISIM-SOFT. </w:t>
      </w:r>
    </w:p>
    <w:p w14:paraId="3812932C" w14:textId="643B60AC" w:rsidR="00A817D8" w:rsidRPr="00231547" w:rsidRDefault="00984584" w:rsidP="00B12D2F">
      <w:pPr>
        <w:pStyle w:val="ListParagraph"/>
        <w:numPr>
          <w:ilvl w:val="1"/>
          <w:numId w:val="1"/>
        </w:numPr>
        <w:tabs>
          <w:tab w:val="left" w:pos="0"/>
        </w:tabs>
        <w:spacing w:after="0"/>
        <w:ind w:left="0" w:firstLine="0"/>
        <w:jc w:val="both"/>
        <w:rPr>
          <w:rFonts w:asciiTheme="majorHAnsi" w:hAnsiTheme="majorHAnsi" w:cs="Times New Roman"/>
          <w:sz w:val="24"/>
          <w:szCs w:val="24"/>
          <w:lang w:val="ro-MD"/>
        </w:rPr>
      </w:pPr>
      <w:r w:rsidRPr="00231547">
        <w:rPr>
          <w:rFonts w:asciiTheme="majorHAnsi" w:hAnsiTheme="majorHAnsi" w:cs="Times New Roman"/>
          <w:sz w:val="24"/>
          <w:szCs w:val="24"/>
          <w:lang w:val="ro-MD"/>
        </w:rPr>
        <w:t>Cu referire la Serviciul de audit intern, auditul menționează că acesta înregistrează o permanentă f</w:t>
      </w:r>
      <w:r w:rsidR="00C8203A" w:rsidRPr="00231547">
        <w:rPr>
          <w:rFonts w:asciiTheme="majorHAnsi" w:hAnsiTheme="majorHAnsi" w:cs="Times New Roman"/>
          <w:sz w:val="24"/>
          <w:szCs w:val="24"/>
          <w:lang w:val="ro-MD"/>
        </w:rPr>
        <w:t>luctuați</w:t>
      </w:r>
      <w:r w:rsidRPr="00231547">
        <w:rPr>
          <w:rFonts w:asciiTheme="majorHAnsi" w:hAnsiTheme="majorHAnsi" w:cs="Times New Roman"/>
          <w:sz w:val="24"/>
          <w:szCs w:val="24"/>
          <w:lang w:val="ro-MD"/>
        </w:rPr>
        <w:t>e</w:t>
      </w:r>
      <w:r w:rsidR="00C8203A" w:rsidRPr="00231547">
        <w:rPr>
          <w:rFonts w:asciiTheme="majorHAnsi" w:hAnsiTheme="majorHAnsi" w:cs="Times New Roman"/>
          <w:sz w:val="24"/>
          <w:szCs w:val="24"/>
          <w:lang w:val="ro-MD"/>
        </w:rPr>
        <w:t xml:space="preserve"> </w:t>
      </w:r>
      <w:r w:rsidRPr="00231547">
        <w:rPr>
          <w:rFonts w:asciiTheme="majorHAnsi" w:hAnsiTheme="majorHAnsi" w:cs="Times New Roman"/>
          <w:sz w:val="24"/>
          <w:szCs w:val="24"/>
          <w:lang w:val="ro-MD"/>
        </w:rPr>
        <w:t xml:space="preserve">a </w:t>
      </w:r>
      <w:r w:rsidR="00C8203A" w:rsidRPr="00231547">
        <w:rPr>
          <w:rFonts w:asciiTheme="majorHAnsi" w:hAnsiTheme="majorHAnsi" w:cs="Times New Roman"/>
          <w:sz w:val="24"/>
          <w:szCs w:val="24"/>
          <w:lang w:val="ro-MD"/>
        </w:rPr>
        <w:t>cadrelor</w:t>
      </w:r>
      <w:r w:rsidRPr="00231547">
        <w:rPr>
          <w:rFonts w:asciiTheme="majorHAnsi" w:hAnsiTheme="majorHAnsi" w:cs="Times New Roman"/>
          <w:sz w:val="24"/>
          <w:szCs w:val="24"/>
          <w:lang w:val="ro-MD"/>
        </w:rPr>
        <w:t>,</w:t>
      </w:r>
      <w:r w:rsidR="00C8203A" w:rsidRPr="00231547">
        <w:rPr>
          <w:rFonts w:asciiTheme="majorHAnsi" w:hAnsiTheme="majorHAnsi" w:cs="Times New Roman"/>
          <w:sz w:val="24"/>
          <w:szCs w:val="24"/>
          <w:lang w:val="ro-MD"/>
        </w:rPr>
        <w:t xml:space="preserve"> </w:t>
      </w:r>
      <w:r w:rsidR="00174F33" w:rsidRPr="00231547">
        <w:rPr>
          <w:rFonts w:asciiTheme="majorHAnsi" w:hAnsiTheme="majorHAnsi" w:cs="Times New Roman"/>
          <w:sz w:val="24"/>
          <w:szCs w:val="24"/>
          <w:lang w:val="ro-MD"/>
        </w:rPr>
        <w:t>iar</w:t>
      </w:r>
      <w:r w:rsidR="00784D3E" w:rsidRPr="00231547">
        <w:rPr>
          <w:rFonts w:asciiTheme="majorHAnsi" w:hAnsiTheme="majorHAnsi" w:cstheme="majorHAnsi"/>
          <w:sz w:val="24"/>
          <w:szCs w:val="24"/>
          <w:lang w:val="ro-MD"/>
        </w:rPr>
        <w:t xml:space="preserve"> </w:t>
      </w:r>
      <w:r w:rsidR="00D814D1" w:rsidRPr="00231547">
        <w:rPr>
          <w:rFonts w:asciiTheme="majorHAnsi" w:hAnsiTheme="majorHAnsi" w:cstheme="majorHAnsi"/>
          <w:sz w:val="24"/>
          <w:szCs w:val="24"/>
          <w:lang w:val="ro-MD"/>
        </w:rPr>
        <w:t>suplinirea funcțiilor</w:t>
      </w:r>
      <w:r w:rsidR="00AA1D0E" w:rsidRPr="00231547">
        <w:rPr>
          <w:rFonts w:asciiTheme="majorHAnsi" w:hAnsiTheme="majorHAnsi" w:cstheme="majorHAnsi"/>
          <w:sz w:val="24"/>
          <w:szCs w:val="24"/>
          <w:lang w:val="ro-MD"/>
        </w:rPr>
        <w:t xml:space="preserve"> vacante </w:t>
      </w:r>
      <w:r w:rsidRPr="00231547">
        <w:rPr>
          <w:rFonts w:asciiTheme="majorHAnsi" w:hAnsiTheme="majorHAnsi" w:cstheme="majorHAnsi"/>
          <w:sz w:val="24"/>
          <w:szCs w:val="24"/>
          <w:lang w:val="ro-MD"/>
        </w:rPr>
        <w:t>se efectuează</w:t>
      </w:r>
      <w:r w:rsidR="00AA1D0E" w:rsidRPr="00231547">
        <w:rPr>
          <w:rFonts w:asciiTheme="majorHAnsi" w:hAnsiTheme="majorHAnsi" w:cstheme="majorHAnsi"/>
          <w:sz w:val="24"/>
          <w:szCs w:val="24"/>
          <w:lang w:val="ro-MD"/>
        </w:rPr>
        <w:t xml:space="preserve"> </w:t>
      </w:r>
      <w:r w:rsidR="00784D3E" w:rsidRPr="00231547">
        <w:rPr>
          <w:rFonts w:asciiTheme="majorHAnsi" w:hAnsiTheme="majorHAnsi" w:cstheme="majorHAnsi"/>
          <w:sz w:val="24"/>
          <w:szCs w:val="24"/>
          <w:lang w:val="ro-MD"/>
        </w:rPr>
        <w:t>din rândul contabililor care și-au</w:t>
      </w:r>
      <w:r w:rsidR="00C8203A" w:rsidRPr="00231547">
        <w:rPr>
          <w:rFonts w:asciiTheme="majorHAnsi" w:hAnsiTheme="majorHAnsi" w:cstheme="majorHAnsi"/>
          <w:sz w:val="24"/>
          <w:szCs w:val="24"/>
          <w:lang w:val="ro-MD"/>
        </w:rPr>
        <w:t xml:space="preserve"> </w:t>
      </w:r>
      <w:r w:rsidRPr="00231547">
        <w:rPr>
          <w:rFonts w:asciiTheme="majorHAnsi" w:hAnsiTheme="majorHAnsi" w:cstheme="majorHAnsi"/>
          <w:sz w:val="24"/>
          <w:szCs w:val="24"/>
          <w:lang w:val="ro-MD"/>
        </w:rPr>
        <w:t xml:space="preserve">încheiat </w:t>
      </w:r>
      <w:r w:rsidR="00C8203A" w:rsidRPr="00231547">
        <w:rPr>
          <w:rFonts w:asciiTheme="majorHAnsi" w:hAnsiTheme="majorHAnsi" w:cstheme="majorHAnsi"/>
          <w:sz w:val="24"/>
          <w:szCs w:val="24"/>
          <w:lang w:val="ro-MD"/>
        </w:rPr>
        <w:t>activitatea</w:t>
      </w:r>
      <w:r w:rsidR="005C5AD9" w:rsidRPr="00231547">
        <w:rPr>
          <w:rFonts w:asciiTheme="majorHAnsi" w:hAnsiTheme="majorHAnsi" w:cstheme="majorHAnsi"/>
          <w:sz w:val="24"/>
          <w:szCs w:val="24"/>
          <w:lang w:val="ro-MD"/>
        </w:rPr>
        <w:t xml:space="preserve"> în cadrul misiunilor diplomatice și oficiilor consulare</w:t>
      </w:r>
      <w:r w:rsidR="00C8203A" w:rsidRPr="00231547">
        <w:rPr>
          <w:rFonts w:asciiTheme="majorHAnsi" w:hAnsiTheme="majorHAnsi" w:cstheme="majorHAnsi"/>
          <w:sz w:val="24"/>
          <w:szCs w:val="24"/>
          <w:lang w:val="ro-MD"/>
        </w:rPr>
        <w:t>,</w:t>
      </w:r>
      <w:r w:rsidR="00AA1D0E" w:rsidRPr="00231547">
        <w:rPr>
          <w:rFonts w:asciiTheme="majorHAnsi" w:hAnsiTheme="majorHAnsi" w:cstheme="majorHAnsi"/>
          <w:sz w:val="24"/>
          <w:szCs w:val="24"/>
          <w:lang w:val="ro-MD"/>
        </w:rPr>
        <w:t xml:space="preserve"> dar fără</w:t>
      </w:r>
      <w:r w:rsidR="00784D3E" w:rsidRPr="00231547">
        <w:rPr>
          <w:rFonts w:asciiTheme="majorHAnsi" w:hAnsiTheme="majorHAnsi" w:cstheme="majorHAnsi"/>
          <w:sz w:val="24"/>
          <w:szCs w:val="24"/>
          <w:lang w:val="ro-MD"/>
        </w:rPr>
        <w:t xml:space="preserve"> pregătire suplimentară în audit</w:t>
      </w:r>
      <w:r w:rsidRPr="00231547">
        <w:rPr>
          <w:rFonts w:asciiTheme="majorHAnsi" w:hAnsiTheme="majorHAnsi" w:cstheme="majorHAnsi"/>
          <w:sz w:val="24"/>
          <w:szCs w:val="24"/>
          <w:lang w:val="ro-MD"/>
        </w:rPr>
        <w:t>ul</w:t>
      </w:r>
      <w:r w:rsidR="00784D3E" w:rsidRPr="00231547">
        <w:rPr>
          <w:rFonts w:asciiTheme="majorHAnsi" w:hAnsiTheme="majorHAnsi" w:cstheme="majorHAnsi"/>
          <w:sz w:val="24"/>
          <w:szCs w:val="24"/>
          <w:lang w:val="ro-MD"/>
        </w:rPr>
        <w:t xml:space="preserve"> intern, iar șeful </w:t>
      </w:r>
      <w:r w:rsidRPr="00231547">
        <w:rPr>
          <w:rFonts w:asciiTheme="majorHAnsi" w:hAnsiTheme="majorHAnsi" w:cstheme="majorHAnsi"/>
          <w:sz w:val="24"/>
          <w:szCs w:val="24"/>
          <w:lang w:val="ro-MD"/>
        </w:rPr>
        <w:t>S</w:t>
      </w:r>
      <w:r w:rsidR="00784D3E" w:rsidRPr="00231547">
        <w:rPr>
          <w:rFonts w:asciiTheme="majorHAnsi" w:hAnsiTheme="majorHAnsi" w:cstheme="majorHAnsi"/>
          <w:sz w:val="24"/>
          <w:szCs w:val="24"/>
          <w:lang w:val="ro-MD"/>
        </w:rPr>
        <w:t>erviciului nu de</w:t>
      </w:r>
      <w:r w:rsidRPr="00231547">
        <w:rPr>
          <w:rFonts w:asciiTheme="majorHAnsi" w:hAnsiTheme="majorHAnsi" w:cstheme="majorHAnsi"/>
          <w:sz w:val="24"/>
          <w:szCs w:val="24"/>
          <w:lang w:val="ro-MD"/>
        </w:rPr>
        <w:t>ține</w:t>
      </w:r>
      <w:r w:rsidR="00784D3E" w:rsidRPr="00231547">
        <w:rPr>
          <w:rFonts w:asciiTheme="majorHAnsi" w:hAnsiTheme="majorHAnsi" w:cstheme="majorHAnsi"/>
          <w:sz w:val="24"/>
          <w:szCs w:val="24"/>
          <w:lang w:val="ro-MD"/>
        </w:rPr>
        <w:t xml:space="preserve"> certificat</w:t>
      </w:r>
      <w:r w:rsidRPr="00231547">
        <w:rPr>
          <w:rFonts w:asciiTheme="majorHAnsi" w:hAnsiTheme="majorHAnsi" w:cstheme="majorHAnsi"/>
          <w:sz w:val="24"/>
          <w:szCs w:val="24"/>
          <w:lang w:val="ro-MD"/>
        </w:rPr>
        <w:t>ul</w:t>
      </w:r>
      <w:r w:rsidR="00784D3E" w:rsidRPr="00231547">
        <w:rPr>
          <w:rFonts w:asciiTheme="majorHAnsi" w:hAnsiTheme="majorHAnsi" w:cstheme="majorHAnsi"/>
          <w:sz w:val="24"/>
          <w:szCs w:val="24"/>
          <w:lang w:val="ro-MD"/>
        </w:rPr>
        <w:t xml:space="preserve"> de calificar</w:t>
      </w:r>
      <w:r w:rsidR="00AA1D0E" w:rsidRPr="00231547">
        <w:rPr>
          <w:rFonts w:asciiTheme="majorHAnsi" w:hAnsiTheme="majorHAnsi" w:cstheme="majorHAnsi"/>
          <w:sz w:val="24"/>
          <w:szCs w:val="24"/>
          <w:lang w:val="ro-MD"/>
        </w:rPr>
        <w:t>e profesională</w:t>
      </w:r>
      <w:r w:rsidR="00174F33" w:rsidRPr="00231547">
        <w:rPr>
          <w:rFonts w:asciiTheme="majorHAnsi" w:hAnsiTheme="majorHAnsi" w:cstheme="majorHAnsi"/>
          <w:sz w:val="24"/>
          <w:szCs w:val="24"/>
          <w:lang w:val="ro-MD"/>
        </w:rPr>
        <w:t>. Această situație</w:t>
      </w:r>
      <w:r w:rsidR="00AA1D0E" w:rsidRPr="00231547">
        <w:rPr>
          <w:rFonts w:asciiTheme="majorHAnsi" w:hAnsiTheme="majorHAnsi" w:cstheme="majorHAnsi"/>
          <w:sz w:val="24"/>
          <w:szCs w:val="24"/>
          <w:lang w:val="ro-MD"/>
        </w:rPr>
        <w:t xml:space="preserve"> </w:t>
      </w:r>
      <w:r w:rsidR="008410FB" w:rsidRPr="00231547">
        <w:rPr>
          <w:rFonts w:asciiTheme="majorHAnsi" w:hAnsiTheme="majorHAnsi" w:cs="Times New Roman"/>
          <w:sz w:val="24"/>
          <w:szCs w:val="24"/>
          <w:lang w:val="ro-MD"/>
        </w:rPr>
        <w:t>poate lipsi</w:t>
      </w:r>
      <w:r w:rsidR="00784D3E" w:rsidRPr="00231547">
        <w:rPr>
          <w:rFonts w:asciiTheme="majorHAnsi" w:hAnsiTheme="majorHAnsi" w:cs="Times New Roman"/>
          <w:sz w:val="24"/>
          <w:szCs w:val="24"/>
          <w:lang w:val="ro-MD"/>
        </w:rPr>
        <w:t xml:space="preserve"> conducătorii de un instrument care asigură gestionarea prudentă a riscurilor, contribuie la îmbunătățirea controlului intern managerial, precum și sporește nivelul de eficiență și eficacitate a proceselor gestionate.</w:t>
      </w:r>
    </w:p>
    <w:p w14:paraId="2D86BED0" w14:textId="77777777" w:rsidR="00AB0819" w:rsidRPr="00231547" w:rsidRDefault="00AB0819" w:rsidP="00AB0819">
      <w:pPr>
        <w:pStyle w:val="ListParagraph"/>
        <w:tabs>
          <w:tab w:val="left" w:pos="0"/>
        </w:tabs>
        <w:spacing w:after="0"/>
        <w:ind w:left="0"/>
        <w:jc w:val="both"/>
        <w:rPr>
          <w:rFonts w:asciiTheme="majorHAnsi" w:hAnsiTheme="majorHAnsi" w:cs="Times New Roman"/>
          <w:sz w:val="8"/>
          <w:szCs w:val="8"/>
          <w:lang w:val="ro-MD"/>
        </w:rPr>
      </w:pPr>
    </w:p>
    <w:p w14:paraId="7760B9BB" w14:textId="25A2A2D4" w:rsidR="001F3744" w:rsidRPr="00231547" w:rsidRDefault="00AA1D0E" w:rsidP="00B12D2F">
      <w:pPr>
        <w:pStyle w:val="ListParagraph"/>
        <w:numPr>
          <w:ilvl w:val="1"/>
          <w:numId w:val="1"/>
        </w:numPr>
        <w:tabs>
          <w:tab w:val="left" w:pos="0"/>
        </w:tabs>
        <w:spacing w:after="0"/>
        <w:ind w:left="0" w:firstLine="0"/>
        <w:jc w:val="both"/>
        <w:rPr>
          <w:rFonts w:asciiTheme="majorHAnsi" w:hAnsiTheme="majorHAnsi" w:cs="Times New Roman"/>
          <w:sz w:val="24"/>
          <w:szCs w:val="24"/>
          <w:lang w:val="ro-MD"/>
        </w:rPr>
      </w:pPr>
      <w:r w:rsidRPr="00231547">
        <w:rPr>
          <w:rFonts w:asciiTheme="majorHAnsi" w:hAnsiTheme="majorHAnsi" w:cstheme="majorHAnsi"/>
          <w:sz w:val="24"/>
          <w:szCs w:val="24"/>
          <w:lang w:val="ro-MD"/>
        </w:rPr>
        <w:t>Prin Hotărârea Curții de Conturi nr.35 din 23.07.20</w:t>
      </w:r>
      <w:r w:rsidR="00984584" w:rsidRPr="00231547">
        <w:rPr>
          <w:rFonts w:asciiTheme="majorHAnsi" w:hAnsiTheme="majorHAnsi" w:cstheme="majorHAnsi"/>
          <w:sz w:val="24"/>
          <w:szCs w:val="24"/>
          <w:lang w:val="ro-MD"/>
        </w:rPr>
        <w:t>20</w:t>
      </w:r>
      <w:r w:rsidRPr="00231547">
        <w:rPr>
          <w:rStyle w:val="FootnoteReference"/>
          <w:rFonts w:asciiTheme="majorHAnsi" w:hAnsiTheme="majorHAnsi" w:cstheme="majorHAnsi"/>
          <w:sz w:val="24"/>
          <w:szCs w:val="24"/>
          <w:lang w:val="ro-MD"/>
        </w:rPr>
        <w:footnoteReference w:id="4"/>
      </w:r>
      <w:r w:rsidRPr="00231547">
        <w:rPr>
          <w:rFonts w:asciiTheme="majorHAnsi" w:hAnsiTheme="majorHAnsi" w:cstheme="majorHAnsi"/>
          <w:sz w:val="24"/>
          <w:szCs w:val="24"/>
          <w:lang w:val="ro-MD"/>
        </w:rPr>
        <w:t>, Ministerului Afacerilor Externe și Integrării Europene i-au fost înaintate 4 recomandări, care au fost implementate integral.</w:t>
      </w:r>
    </w:p>
    <w:p w14:paraId="08B28606" w14:textId="3F0529DC" w:rsidR="00AB0819" w:rsidRPr="00231547" w:rsidRDefault="00AB0819" w:rsidP="00AB0819">
      <w:pPr>
        <w:pStyle w:val="ListParagraph"/>
        <w:tabs>
          <w:tab w:val="left" w:pos="0"/>
        </w:tabs>
        <w:spacing w:after="0"/>
        <w:ind w:left="0"/>
        <w:jc w:val="both"/>
        <w:rPr>
          <w:rFonts w:asciiTheme="majorHAnsi" w:hAnsiTheme="majorHAnsi" w:cs="Times New Roman"/>
          <w:sz w:val="8"/>
          <w:szCs w:val="8"/>
          <w:lang w:val="ro-MD"/>
        </w:rPr>
      </w:pPr>
    </w:p>
    <w:p w14:paraId="5DABCDF6" w14:textId="22E5DBEE" w:rsidR="009231B5" w:rsidRPr="00231547" w:rsidRDefault="00C04005" w:rsidP="00B12D2F">
      <w:pPr>
        <w:pStyle w:val="ListParagraph"/>
        <w:numPr>
          <w:ilvl w:val="1"/>
          <w:numId w:val="1"/>
        </w:numPr>
        <w:tabs>
          <w:tab w:val="left" w:pos="0"/>
        </w:tabs>
        <w:spacing w:after="0"/>
        <w:ind w:left="0" w:firstLine="0"/>
        <w:jc w:val="both"/>
        <w:rPr>
          <w:rFonts w:asciiTheme="majorHAnsi" w:hAnsiTheme="majorHAnsi" w:cs="Times New Roman"/>
          <w:sz w:val="24"/>
          <w:szCs w:val="24"/>
          <w:lang w:val="ro-MD"/>
        </w:rPr>
      </w:pPr>
      <w:r w:rsidRPr="00231547">
        <w:rPr>
          <w:rFonts w:asciiTheme="majorHAnsi" w:hAnsiTheme="majorHAnsi" w:cstheme="majorHAnsi"/>
          <w:sz w:val="24"/>
          <w:szCs w:val="24"/>
          <w:lang w:val="ro-MD"/>
        </w:rPr>
        <w:t xml:space="preserve">În anul 2020 se atestă un nivel redus de executare a investițiilor capitale prevăzute pentru </w:t>
      </w:r>
      <w:r w:rsidR="00984584" w:rsidRPr="00231547">
        <w:rPr>
          <w:rFonts w:asciiTheme="majorHAnsi" w:hAnsiTheme="majorHAnsi" w:cstheme="majorHAnsi"/>
          <w:sz w:val="24"/>
          <w:szCs w:val="24"/>
          <w:lang w:val="ro-MD"/>
        </w:rPr>
        <w:t>c</w:t>
      </w:r>
      <w:r w:rsidRPr="00231547">
        <w:rPr>
          <w:rFonts w:asciiTheme="majorHAnsi" w:hAnsiTheme="majorHAnsi" w:cstheme="majorHAnsi"/>
          <w:sz w:val="24"/>
          <w:szCs w:val="24"/>
          <w:lang w:val="ro-MD"/>
        </w:rPr>
        <w:t xml:space="preserve">onstrucția Ambasadei Republicii Moldova în Republica Belarus </w:t>
      </w:r>
      <w:r w:rsidR="0066157C" w:rsidRPr="00231547">
        <w:rPr>
          <w:rFonts w:asciiTheme="majorHAnsi" w:hAnsiTheme="majorHAnsi" w:cstheme="majorHAnsi"/>
          <w:sz w:val="24"/>
          <w:szCs w:val="24"/>
          <w:lang w:val="ro-MD"/>
        </w:rPr>
        <w:t>(</w:t>
      </w:r>
      <w:r w:rsidRPr="00231547">
        <w:rPr>
          <w:rFonts w:asciiTheme="majorHAnsi" w:hAnsiTheme="majorHAnsi" w:cstheme="majorHAnsi"/>
          <w:sz w:val="24"/>
          <w:szCs w:val="24"/>
          <w:lang w:val="ro-MD"/>
        </w:rPr>
        <w:t>orașul Minsk</w:t>
      </w:r>
      <w:r w:rsidR="0066157C" w:rsidRPr="00231547">
        <w:rPr>
          <w:rFonts w:asciiTheme="majorHAnsi" w:hAnsiTheme="majorHAnsi" w:cstheme="majorHAnsi"/>
          <w:sz w:val="24"/>
          <w:szCs w:val="24"/>
          <w:lang w:val="ro-MD"/>
        </w:rPr>
        <w:t>)</w:t>
      </w:r>
      <w:r w:rsidRPr="00231547">
        <w:rPr>
          <w:rFonts w:asciiTheme="majorHAnsi" w:hAnsiTheme="majorHAnsi" w:cstheme="majorHAnsi"/>
          <w:sz w:val="24"/>
          <w:szCs w:val="24"/>
          <w:lang w:val="ro-MD"/>
        </w:rPr>
        <w:t>. Astfel, din 9,0 mil. lei</w:t>
      </w:r>
      <w:r w:rsidR="0066157C" w:rsidRPr="00231547">
        <w:rPr>
          <w:rFonts w:asciiTheme="majorHAnsi" w:hAnsiTheme="majorHAnsi" w:cstheme="majorHAnsi"/>
          <w:sz w:val="24"/>
          <w:szCs w:val="24"/>
          <w:lang w:val="ro-MD"/>
        </w:rPr>
        <w:t>,</w:t>
      </w:r>
      <w:r w:rsidRPr="00231547">
        <w:rPr>
          <w:rFonts w:asciiTheme="majorHAnsi" w:hAnsiTheme="majorHAnsi" w:cstheme="majorHAnsi"/>
          <w:sz w:val="24"/>
          <w:szCs w:val="24"/>
          <w:lang w:val="ro-MD"/>
        </w:rPr>
        <w:t xml:space="preserve"> au fost</w:t>
      </w:r>
      <w:r w:rsidR="009A7A97" w:rsidRPr="00231547">
        <w:rPr>
          <w:rFonts w:asciiTheme="majorHAnsi" w:hAnsiTheme="majorHAnsi" w:cstheme="majorHAnsi"/>
          <w:sz w:val="24"/>
          <w:szCs w:val="24"/>
          <w:lang w:val="ro-MD"/>
        </w:rPr>
        <w:t xml:space="preserve"> executate 1,5 mil. lei (16,6%). </w:t>
      </w:r>
    </w:p>
    <w:p w14:paraId="5F19A548" w14:textId="24051F8F" w:rsidR="00AB0819" w:rsidRPr="00231547" w:rsidRDefault="00AB0819" w:rsidP="00AB0819">
      <w:pPr>
        <w:pStyle w:val="ListParagraph"/>
        <w:tabs>
          <w:tab w:val="left" w:pos="0"/>
        </w:tabs>
        <w:spacing w:after="0"/>
        <w:ind w:left="0"/>
        <w:jc w:val="both"/>
        <w:rPr>
          <w:rFonts w:asciiTheme="majorHAnsi" w:hAnsiTheme="majorHAnsi" w:cs="Times New Roman"/>
          <w:sz w:val="8"/>
          <w:szCs w:val="8"/>
          <w:lang w:val="ro-MD"/>
        </w:rPr>
      </w:pPr>
    </w:p>
    <w:p w14:paraId="0588100D" w14:textId="6C7B1EA9" w:rsidR="000A760F" w:rsidRPr="00231547" w:rsidRDefault="00AA1D0E" w:rsidP="00B12D2F">
      <w:pPr>
        <w:pStyle w:val="ListParagraph"/>
        <w:numPr>
          <w:ilvl w:val="1"/>
          <w:numId w:val="1"/>
        </w:numPr>
        <w:ind w:left="0" w:firstLine="0"/>
        <w:jc w:val="both"/>
        <w:rPr>
          <w:rFonts w:asciiTheme="majorHAnsi" w:hAnsiTheme="majorHAnsi" w:cstheme="majorHAnsi"/>
          <w:sz w:val="24"/>
          <w:szCs w:val="24"/>
          <w:lang w:val="ro-MD"/>
        </w:rPr>
      </w:pPr>
      <w:r w:rsidRPr="00231547">
        <w:rPr>
          <w:rFonts w:asciiTheme="majorHAnsi" w:hAnsiTheme="majorHAnsi" w:cstheme="majorHAnsi"/>
          <w:sz w:val="24"/>
          <w:szCs w:val="24"/>
          <w:lang w:val="ro-MD"/>
        </w:rPr>
        <w:t>Î</w:t>
      </w:r>
      <w:r w:rsidR="00DC24AE" w:rsidRPr="00231547">
        <w:rPr>
          <w:rFonts w:asciiTheme="majorHAnsi" w:hAnsiTheme="majorHAnsi" w:cstheme="majorHAnsi"/>
          <w:sz w:val="24"/>
          <w:szCs w:val="24"/>
          <w:lang w:val="ro-MD"/>
        </w:rPr>
        <w:t>n anul 202</w:t>
      </w:r>
      <w:r w:rsidR="00C717DF" w:rsidRPr="00231547">
        <w:rPr>
          <w:rFonts w:asciiTheme="majorHAnsi" w:hAnsiTheme="majorHAnsi" w:cstheme="majorHAnsi"/>
          <w:sz w:val="24"/>
          <w:szCs w:val="24"/>
          <w:lang w:val="ro-MD"/>
        </w:rPr>
        <w:t>0, inst</w:t>
      </w:r>
      <w:r w:rsidR="004B50FB" w:rsidRPr="00231547">
        <w:rPr>
          <w:rFonts w:asciiTheme="majorHAnsi" w:hAnsiTheme="majorHAnsi" w:cstheme="majorHAnsi"/>
          <w:sz w:val="24"/>
          <w:szCs w:val="24"/>
          <w:lang w:val="ro-MD"/>
        </w:rPr>
        <w:t>ituțiile serviciului diplomatic</w:t>
      </w:r>
      <w:r w:rsidR="00C717DF" w:rsidRPr="00231547">
        <w:rPr>
          <w:rFonts w:asciiTheme="majorHAnsi" w:hAnsiTheme="majorHAnsi" w:cstheme="majorHAnsi"/>
          <w:sz w:val="24"/>
          <w:szCs w:val="24"/>
          <w:lang w:val="ro-MD"/>
        </w:rPr>
        <w:t xml:space="preserve"> al </w:t>
      </w:r>
      <w:r w:rsidR="00296492" w:rsidRPr="00231547">
        <w:rPr>
          <w:rFonts w:asciiTheme="majorHAnsi" w:hAnsiTheme="majorHAnsi" w:cstheme="majorHAnsi"/>
          <w:sz w:val="24"/>
          <w:szCs w:val="24"/>
          <w:lang w:val="ro-MD"/>
        </w:rPr>
        <w:t>Ministerul</w:t>
      </w:r>
      <w:r w:rsidR="00AF07FF" w:rsidRPr="00231547">
        <w:rPr>
          <w:rFonts w:asciiTheme="majorHAnsi" w:hAnsiTheme="majorHAnsi" w:cstheme="majorHAnsi"/>
          <w:sz w:val="24"/>
          <w:szCs w:val="24"/>
          <w:lang w:val="ro-MD"/>
        </w:rPr>
        <w:t>ui</w:t>
      </w:r>
      <w:r w:rsidR="00296492" w:rsidRPr="00231547">
        <w:rPr>
          <w:rFonts w:asciiTheme="majorHAnsi" w:hAnsiTheme="majorHAnsi" w:cstheme="majorHAnsi"/>
          <w:sz w:val="24"/>
          <w:szCs w:val="24"/>
          <w:lang w:val="ro-MD"/>
        </w:rPr>
        <w:t xml:space="preserve"> Afacerilor Externe și Integrării Europene </w:t>
      </w:r>
      <w:r w:rsidR="00C717DF" w:rsidRPr="00231547">
        <w:rPr>
          <w:rFonts w:asciiTheme="majorHAnsi" w:hAnsiTheme="majorHAnsi" w:cstheme="majorHAnsi"/>
          <w:sz w:val="24"/>
          <w:szCs w:val="24"/>
          <w:lang w:val="ro-MD"/>
        </w:rPr>
        <w:t>au procurat</w:t>
      </w:r>
      <w:r w:rsidR="00DC24AE" w:rsidRPr="00231547">
        <w:rPr>
          <w:rFonts w:asciiTheme="majorHAnsi" w:hAnsiTheme="majorHAnsi" w:cstheme="majorHAnsi"/>
          <w:sz w:val="24"/>
          <w:szCs w:val="24"/>
          <w:lang w:val="ro-MD"/>
        </w:rPr>
        <w:t xml:space="preserve"> </w:t>
      </w:r>
      <w:r w:rsidR="00C717DF" w:rsidRPr="00231547">
        <w:rPr>
          <w:rFonts w:asciiTheme="majorHAnsi" w:hAnsiTheme="majorHAnsi" w:cstheme="majorHAnsi"/>
          <w:sz w:val="24"/>
          <w:szCs w:val="24"/>
          <w:lang w:val="ro-MD"/>
        </w:rPr>
        <w:t>5</w:t>
      </w:r>
      <w:r w:rsidR="00DC24AE" w:rsidRPr="00231547">
        <w:rPr>
          <w:rFonts w:asciiTheme="majorHAnsi" w:hAnsiTheme="majorHAnsi" w:cstheme="majorHAnsi"/>
          <w:sz w:val="24"/>
          <w:szCs w:val="24"/>
          <w:lang w:val="ro-MD"/>
        </w:rPr>
        <w:t xml:space="preserve"> automobile</w:t>
      </w:r>
      <w:r w:rsidR="00C717DF" w:rsidRPr="00231547">
        <w:rPr>
          <w:rStyle w:val="FootnoteReference"/>
          <w:rFonts w:asciiTheme="majorHAnsi" w:hAnsiTheme="majorHAnsi" w:cstheme="majorHAnsi"/>
          <w:sz w:val="24"/>
          <w:szCs w:val="24"/>
          <w:lang w:val="ro-MD"/>
        </w:rPr>
        <w:footnoteReference w:id="5"/>
      </w:r>
      <w:r w:rsidR="00C717DF" w:rsidRPr="00231547">
        <w:rPr>
          <w:rFonts w:asciiTheme="majorHAnsi" w:hAnsiTheme="majorHAnsi" w:cstheme="majorHAnsi"/>
          <w:sz w:val="24"/>
          <w:szCs w:val="24"/>
          <w:lang w:val="ro-MD"/>
        </w:rPr>
        <w:t>,</w:t>
      </w:r>
      <w:r w:rsidR="00DC24AE" w:rsidRPr="00231547">
        <w:rPr>
          <w:rFonts w:asciiTheme="majorHAnsi" w:hAnsiTheme="majorHAnsi" w:cstheme="majorHAnsi"/>
          <w:sz w:val="24"/>
          <w:szCs w:val="24"/>
          <w:lang w:val="ro-MD"/>
        </w:rPr>
        <w:t xml:space="preserve"> </w:t>
      </w:r>
      <w:r w:rsidR="00AF07FF" w:rsidRPr="00231547">
        <w:rPr>
          <w:rFonts w:asciiTheme="majorHAnsi" w:hAnsiTheme="majorHAnsi" w:cstheme="majorHAnsi"/>
          <w:sz w:val="24"/>
          <w:szCs w:val="24"/>
          <w:lang w:val="ro-MD"/>
        </w:rPr>
        <w:t xml:space="preserve">pentru care au </w:t>
      </w:r>
      <w:r w:rsidR="0066157C" w:rsidRPr="00231547">
        <w:rPr>
          <w:rFonts w:asciiTheme="majorHAnsi" w:hAnsiTheme="majorHAnsi" w:cstheme="majorHAnsi"/>
          <w:sz w:val="24"/>
          <w:szCs w:val="24"/>
          <w:lang w:val="ro-MD"/>
        </w:rPr>
        <w:t xml:space="preserve">fost </w:t>
      </w:r>
      <w:r w:rsidR="00AF07FF" w:rsidRPr="00231547">
        <w:rPr>
          <w:rFonts w:asciiTheme="majorHAnsi" w:hAnsiTheme="majorHAnsi" w:cstheme="majorHAnsi"/>
          <w:sz w:val="24"/>
          <w:szCs w:val="24"/>
          <w:lang w:val="ro-MD"/>
        </w:rPr>
        <w:t>achitat</w:t>
      </w:r>
      <w:r w:rsidR="0066157C" w:rsidRPr="00231547">
        <w:rPr>
          <w:rFonts w:asciiTheme="majorHAnsi" w:hAnsiTheme="majorHAnsi" w:cstheme="majorHAnsi"/>
          <w:sz w:val="24"/>
          <w:szCs w:val="24"/>
          <w:lang w:val="ro-MD"/>
        </w:rPr>
        <w:t>e</w:t>
      </w:r>
      <w:r w:rsidR="00AF07FF" w:rsidRPr="00231547">
        <w:rPr>
          <w:rFonts w:asciiTheme="majorHAnsi" w:hAnsiTheme="majorHAnsi" w:cstheme="majorHAnsi"/>
          <w:sz w:val="24"/>
          <w:szCs w:val="24"/>
          <w:lang w:val="ro-MD"/>
        </w:rPr>
        <w:t xml:space="preserve"> 3,6 mil. lei, </w:t>
      </w:r>
      <w:r w:rsidR="00DC24AE" w:rsidRPr="00231547">
        <w:rPr>
          <w:rFonts w:asciiTheme="majorHAnsi" w:hAnsiTheme="majorHAnsi" w:cstheme="majorHAnsi"/>
          <w:sz w:val="24"/>
          <w:szCs w:val="24"/>
          <w:lang w:val="ro-MD"/>
        </w:rPr>
        <w:t>din care achitarea în avans pentru procurarea a 3 automobile</w:t>
      </w:r>
      <w:r w:rsidR="00AF07FF" w:rsidRPr="00231547">
        <w:rPr>
          <w:rStyle w:val="FootnoteReference"/>
          <w:rFonts w:asciiTheme="majorHAnsi" w:hAnsiTheme="majorHAnsi" w:cstheme="majorHAnsi"/>
          <w:sz w:val="24"/>
          <w:szCs w:val="24"/>
          <w:lang w:val="ro-MD"/>
        </w:rPr>
        <w:footnoteReference w:id="6"/>
      </w:r>
      <w:r w:rsidR="00DC24AE" w:rsidRPr="00231547">
        <w:rPr>
          <w:rFonts w:asciiTheme="majorHAnsi" w:hAnsiTheme="majorHAnsi" w:cstheme="majorHAnsi"/>
          <w:sz w:val="24"/>
          <w:szCs w:val="24"/>
          <w:lang w:val="ro-MD"/>
        </w:rPr>
        <w:t xml:space="preserve"> a determinat majorarea creanțelor cu 2,2</w:t>
      </w:r>
      <w:r w:rsidR="004B50FB" w:rsidRPr="00231547">
        <w:rPr>
          <w:rFonts w:asciiTheme="majorHAnsi" w:hAnsiTheme="majorHAnsi" w:cstheme="majorHAnsi"/>
          <w:sz w:val="24"/>
          <w:szCs w:val="24"/>
          <w:lang w:val="ro-MD"/>
        </w:rPr>
        <w:t xml:space="preserve"> mil. lei. Situația respectivă a cauzat și dezafectarea/</w:t>
      </w:r>
      <w:r w:rsidR="00DC24AE" w:rsidRPr="00231547">
        <w:rPr>
          <w:rFonts w:asciiTheme="majorHAnsi" w:hAnsiTheme="majorHAnsi" w:cstheme="majorHAnsi"/>
          <w:sz w:val="24"/>
          <w:szCs w:val="24"/>
          <w:lang w:val="ro-MD"/>
        </w:rPr>
        <w:t>imobilizarea resurselor financiare publice pe un termen nedeterminat. Totodată, aceste achiziții nu au fost planificate la începutul anului și au fost procurate la sfârșitul anului, ca</w:t>
      </w:r>
      <w:r w:rsidR="0072628B" w:rsidRPr="00231547">
        <w:rPr>
          <w:rFonts w:asciiTheme="majorHAnsi" w:hAnsiTheme="majorHAnsi" w:cstheme="majorHAnsi"/>
          <w:sz w:val="24"/>
          <w:szCs w:val="24"/>
          <w:lang w:val="ro-MD"/>
        </w:rPr>
        <w:t xml:space="preserve"> urmare a formării economiilor.</w:t>
      </w:r>
    </w:p>
    <w:p w14:paraId="5F93A62B" w14:textId="5856962B" w:rsidR="006B0D9C" w:rsidRPr="00231547" w:rsidRDefault="006B0D9C" w:rsidP="00B12D2F">
      <w:pPr>
        <w:pStyle w:val="ListParagraph"/>
        <w:ind w:left="0"/>
        <w:jc w:val="both"/>
        <w:rPr>
          <w:rFonts w:asciiTheme="majorHAnsi" w:eastAsiaTheme="minorHAnsi" w:hAnsiTheme="majorHAnsi" w:cstheme="majorHAnsi"/>
          <w:sz w:val="24"/>
          <w:szCs w:val="24"/>
          <w:lang w:val="ro-MD"/>
        </w:rPr>
      </w:pPr>
      <w:r w:rsidRPr="00231547">
        <w:rPr>
          <w:rFonts w:asciiTheme="majorHAnsi" w:eastAsiaTheme="minorHAnsi" w:hAnsiTheme="majorHAnsi" w:cstheme="majorHAnsi"/>
          <w:sz w:val="24"/>
          <w:szCs w:val="24"/>
          <w:lang w:val="ro-MD"/>
        </w:rPr>
        <w:t>În aceeași perioadă, 3 instituții</w:t>
      </w:r>
      <w:r w:rsidRPr="00231547">
        <w:rPr>
          <w:rFonts w:asciiTheme="majorHAnsi" w:eastAsiaTheme="minorHAnsi" w:hAnsiTheme="majorHAnsi" w:cstheme="majorHAnsi"/>
          <w:sz w:val="24"/>
          <w:szCs w:val="24"/>
          <w:vertAlign w:val="superscript"/>
          <w:lang w:val="ro-MD"/>
        </w:rPr>
        <w:footnoteReference w:id="7"/>
      </w:r>
      <w:r w:rsidR="008A782F" w:rsidRPr="00231547">
        <w:rPr>
          <w:rFonts w:asciiTheme="majorHAnsi" w:eastAsiaTheme="minorHAnsi" w:hAnsiTheme="majorHAnsi" w:cstheme="majorHAnsi"/>
          <w:sz w:val="24"/>
          <w:szCs w:val="24"/>
          <w:lang w:val="ro-MD"/>
        </w:rPr>
        <w:t xml:space="preserve"> au </w:t>
      </w:r>
      <w:r w:rsidR="00D64CA4" w:rsidRPr="00231547">
        <w:rPr>
          <w:rFonts w:asciiTheme="majorHAnsi" w:eastAsiaTheme="minorHAnsi" w:hAnsiTheme="majorHAnsi" w:cstheme="majorHAnsi"/>
          <w:sz w:val="24"/>
          <w:szCs w:val="24"/>
          <w:lang w:val="ro-MD"/>
        </w:rPr>
        <w:t>comercializat</w:t>
      </w:r>
      <w:r w:rsidR="008A782F" w:rsidRPr="00231547">
        <w:rPr>
          <w:rFonts w:asciiTheme="majorHAnsi" w:eastAsiaTheme="minorHAnsi" w:hAnsiTheme="majorHAnsi" w:cstheme="majorHAnsi"/>
          <w:sz w:val="24"/>
          <w:szCs w:val="24"/>
          <w:lang w:val="ro-MD"/>
        </w:rPr>
        <w:t xml:space="preserve"> 3</w:t>
      </w:r>
      <w:r w:rsidRPr="00231547">
        <w:rPr>
          <w:rFonts w:asciiTheme="majorHAnsi" w:eastAsiaTheme="minorHAnsi" w:hAnsiTheme="majorHAnsi" w:cstheme="majorHAnsi"/>
          <w:sz w:val="24"/>
          <w:szCs w:val="24"/>
          <w:lang w:val="ro-MD"/>
        </w:rPr>
        <w:t xml:space="preserve"> mijloace de transport cu valoarea de intrare (de cost) în sumă de 1,8 mil. lei, prețul de vânzare variind </w:t>
      </w:r>
      <w:r w:rsidR="0066157C" w:rsidRPr="00231547">
        <w:rPr>
          <w:rFonts w:asciiTheme="majorHAnsi" w:eastAsiaTheme="minorHAnsi" w:hAnsiTheme="majorHAnsi" w:cstheme="majorHAnsi"/>
          <w:sz w:val="24"/>
          <w:szCs w:val="24"/>
          <w:lang w:val="ro-MD"/>
        </w:rPr>
        <w:t xml:space="preserve">de la </w:t>
      </w:r>
      <w:r w:rsidRPr="00231547">
        <w:rPr>
          <w:rFonts w:asciiTheme="majorHAnsi" w:eastAsiaTheme="minorHAnsi" w:hAnsiTheme="majorHAnsi" w:cstheme="majorHAnsi"/>
          <w:sz w:val="24"/>
          <w:szCs w:val="24"/>
          <w:lang w:val="ro-MD"/>
        </w:rPr>
        <w:t xml:space="preserve">15,2 mii lei până la 35,4 mii lei. </w:t>
      </w:r>
      <w:r w:rsidR="0066157C" w:rsidRPr="00231547">
        <w:rPr>
          <w:rFonts w:asciiTheme="majorHAnsi" w:eastAsiaTheme="minorHAnsi" w:hAnsiTheme="majorHAnsi" w:cstheme="majorHAnsi"/>
          <w:sz w:val="24"/>
          <w:szCs w:val="24"/>
          <w:lang w:val="ro-MD"/>
        </w:rPr>
        <w:t xml:space="preserve">Ca </w:t>
      </w:r>
      <w:r w:rsidR="0066157C" w:rsidRPr="00231547">
        <w:rPr>
          <w:rFonts w:asciiTheme="majorHAnsi" w:eastAsiaTheme="minorHAnsi" w:hAnsiTheme="majorHAnsi" w:cstheme="majorHAnsi"/>
          <w:sz w:val="24"/>
          <w:szCs w:val="24"/>
          <w:lang w:val="ro-MD"/>
        </w:rPr>
        <w:lastRenderedPageBreak/>
        <w:t>u</w:t>
      </w:r>
      <w:r w:rsidRPr="00231547">
        <w:rPr>
          <w:rFonts w:asciiTheme="majorHAnsi" w:eastAsiaTheme="minorHAnsi" w:hAnsiTheme="majorHAnsi" w:cstheme="majorHAnsi"/>
          <w:sz w:val="24"/>
          <w:szCs w:val="24"/>
          <w:lang w:val="ro-MD"/>
        </w:rPr>
        <w:t xml:space="preserve">rmare </w:t>
      </w:r>
      <w:r w:rsidR="0066157C" w:rsidRPr="00231547">
        <w:rPr>
          <w:rFonts w:asciiTheme="majorHAnsi" w:eastAsiaTheme="minorHAnsi" w:hAnsiTheme="majorHAnsi" w:cstheme="majorHAnsi"/>
          <w:sz w:val="24"/>
          <w:szCs w:val="24"/>
          <w:lang w:val="ro-MD"/>
        </w:rPr>
        <w:t xml:space="preserve">a </w:t>
      </w:r>
      <w:r w:rsidRPr="00231547">
        <w:rPr>
          <w:rFonts w:asciiTheme="majorHAnsi" w:eastAsiaTheme="minorHAnsi" w:hAnsiTheme="majorHAnsi" w:cstheme="majorHAnsi"/>
          <w:sz w:val="24"/>
          <w:szCs w:val="24"/>
          <w:lang w:val="ro-MD"/>
        </w:rPr>
        <w:t>comercializării au fost obținute venituri de 106,7 mii lei (5,7% din valoare</w:t>
      </w:r>
      <w:r w:rsidR="0066157C" w:rsidRPr="00231547">
        <w:rPr>
          <w:rFonts w:asciiTheme="majorHAnsi" w:eastAsiaTheme="minorHAnsi" w:hAnsiTheme="majorHAnsi" w:cstheme="majorHAnsi"/>
          <w:sz w:val="24"/>
          <w:szCs w:val="24"/>
          <w:lang w:val="ro-MD"/>
        </w:rPr>
        <w:t>a</w:t>
      </w:r>
      <w:r w:rsidRPr="00231547">
        <w:rPr>
          <w:rFonts w:asciiTheme="majorHAnsi" w:eastAsiaTheme="minorHAnsi" w:hAnsiTheme="majorHAnsi" w:cstheme="majorHAnsi"/>
          <w:sz w:val="24"/>
          <w:szCs w:val="24"/>
          <w:lang w:val="ro-MD"/>
        </w:rPr>
        <w:t xml:space="preserve"> de intrare a mijloacelor de transport). Totodată</w:t>
      </w:r>
      <w:r w:rsidR="00F65205" w:rsidRPr="00231547">
        <w:rPr>
          <w:rFonts w:asciiTheme="majorHAnsi" w:eastAsiaTheme="minorHAnsi" w:hAnsiTheme="majorHAnsi" w:cstheme="majorHAnsi"/>
          <w:sz w:val="24"/>
          <w:szCs w:val="24"/>
          <w:lang w:val="ro-MD"/>
        </w:rPr>
        <w:t>,</w:t>
      </w:r>
      <w:r w:rsidRPr="00231547">
        <w:rPr>
          <w:rFonts w:asciiTheme="majorHAnsi" w:eastAsiaTheme="minorHAnsi" w:hAnsiTheme="majorHAnsi" w:cstheme="majorHAnsi"/>
          <w:sz w:val="24"/>
          <w:szCs w:val="24"/>
          <w:lang w:val="ro-MD"/>
        </w:rPr>
        <w:t xml:space="preserve"> în Raportul financiar au </w:t>
      </w:r>
      <w:r w:rsidR="0066157C" w:rsidRPr="00231547">
        <w:rPr>
          <w:rFonts w:asciiTheme="majorHAnsi" w:eastAsiaTheme="minorHAnsi" w:hAnsiTheme="majorHAnsi" w:cstheme="majorHAnsi"/>
          <w:sz w:val="24"/>
          <w:szCs w:val="24"/>
          <w:lang w:val="ro-MD"/>
        </w:rPr>
        <w:t xml:space="preserve">fost </w:t>
      </w:r>
      <w:r w:rsidRPr="00231547">
        <w:rPr>
          <w:rFonts w:asciiTheme="majorHAnsi" w:eastAsiaTheme="minorHAnsi" w:hAnsiTheme="majorHAnsi" w:cstheme="majorHAnsi"/>
          <w:sz w:val="24"/>
          <w:szCs w:val="24"/>
          <w:lang w:val="ro-MD"/>
        </w:rPr>
        <w:t>reflectat</w:t>
      </w:r>
      <w:r w:rsidR="0066157C" w:rsidRPr="00231547">
        <w:rPr>
          <w:rFonts w:asciiTheme="majorHAnsi" w:eastAsiaTheme="minorHAnsi" w:hAnsiTheme="majorHAnsi" w:cstheme="majorHAnsi"/>
          <w:sz w:val="24"/>
          <w:szCs w:val="24"/>
          <w:lang w:val="ro-MD"/>
        </w:rPr>
        <w:t>e</w:t>
      </w:r>
      <w:r w:rsidRPr="00231547">
        <w:rPr>
          <w:rFonts w:asciiTheme="majorHAnsi" w:eastAsiaTheme="minorHAnsi" w:hAnsiTheme="majorHAnsi" w:cstheme="majorHAnsi"/>
          <w:sz w:val="24"/>
          <w:szCs w:val="24"/>
          <w:lang w:val="ro-MD"/>
        </w:rPr>
        <w:t xml:space="preserve"> doar 52,0 mii lei, sau cu o diferență de 54,7 mii. lei, situație cauzată de neraportarea de către Ambasada R</w:t>
      </w:r>
      <w:r w:rsidR="0066157C" w:rsidRPr="00231547">
        <w:rPr>
          <w:rFonts w:asciiTheme="majorHAnsi" w:eastAsiaTheme="minorHAnsi" w:hAnsiTheme="majorHAnsi" w:cstheme="majorHAnsi"/>
          <w:sz w:val="24"/>
          <w:szCs w:val="24"/>
          <w:lang w:val="ro-MD"/>
        </w:rPr>
        <w:t xml:space="preserve">epublicii </w:t>
      </w:r>
      <w:r w:rsidRPr="00231547">
        <w:rPr>
          <w:rFonts w:asciiTheme="majorHAnsi" w:eastAsiaTheme="minorHAnsi" w:hAnsiTheme="majorHAnsi" w:cstheme="majorHAnsi"/>
          <w:sz w:val="24"/>
          <w:szCs w:val="24"/>
          <w:lang w:val="ro-MD"/>
        </w:rPr>
        <w:t>M</w:t>
      </w:r>
      <w:r w:rsidR="0066157C" w:rsidRPr="00231547">
        <w:rPr>
          <w:rFonts w:asciiTheme="majorHAnsi" w:eastAsiaTheme="minorHAnsi" w:hAnsiTheme="majorHAnsi" w:cstheme="majorHAnsi"/>
          <w:sz w:val="24"/>
          <w:szCs w:val="24"/>
          <w:lang w:val="ro-MD"/>
        </w:rPr>
        <w:t>oldova</w:t>
      </w:r>
      <w:r w:rsidRPr="00231547">
        <w:rPr>
          <w:rFonts w:asciiTheme="majorHAnsi" w:eastAsiaTheme="minorHAnsi" w:hAnsiTheme="majorHAnsi" w:cstheme="majorHAnsi"/>
          <w:sz w:val="24"/>
          <w:szCs w:val="24"/>
          <w:lang w:val="ro-MD"/>
        </w:rPr>
        <w:t xml:space="preserve"> în Ucraina a veniturilor din </w:t>
      </w:r>
      <w:r w:rsidR="0066157C" w:rsidRPr="00231547">
        <w:rPr>
          <w:rFonts w:asciiTheme="majorHAnsi" w:eastAsiaTheme="minorHAnsi" w:hAnsiTheme="majorHAnsi" w:cstheme="majorHAnsi"/>
          <w:sz w:val="24"/>
          <w:szCs w:val="24"/>
          <w:lang w:val="ro-MD"/>
        </w:rPr>
        <w:t xml:space="preserve">comercializarea </w:t>
      </w:r>
      <w:r w:rsidRPr="00231547">
        <w:rPr>
          <w:rFonts w:asciiTheme="majorHAnsi" w:eastAsiaTheme="minorHAnsi" w:hAnsiTheme="majorHAnsi" w:cstheme="majorHAnsi"/>
          <w:sz w:val="24"/>
          <w:szCs w:val="24"/>
          <w:lang w:val="ro-MD"/>
        </w:rPr>
        <w:t>activelor.</w:t>
      </w:r>
    </w:p>
    <w:p w14:paraId="1A55413A" w14:textId="77777777" w:rsidR="00AB0819" w:rsidRPr="00231547" w:rsidRDefault="00AB0819" w:rsidP="00B12D2F">
      <w:pPr>
        <w:pStyle w:val="ListParagraph"/>
        <w:ind w:left="0"/>
        <w:jc w:val="both"/>
        <w:rPr>
          <w:rFonts w:asciiTheme="majorHAnsi" w:hAnsiTheme="majorHAnsi" w:cstheme="majorHAnsi"/>
          <w:sz w:val="8"/>
          <w:szCs w:val="8"/>
          <w:lang w:val="ro-MD"/>
        </w:rPr>
      </w:pPr>
    </w:p>
    <w:p w14:paraId="3DC267D6" w14:textId="22A9028C" w:rsidR="00DD5453" w:rsidRPr="00231547" w:rsidRDefault="00FA68AF" w:rsidP="00B12D2F">
      <w:pPr>
        <w:pStyle w:val="ListParagraph"/>
        <w:numPr>
          <w:ilvl w:val="1"/>
          <w:numId w:val="1"/>
        </w:numPr>
        <w:ind w:left="0" w:firstLine="0"/>
        <w:jc w:val="both"/>
        <w:rPr>
          <w:rFonts w:asciiTheme="majorHAnsi" w:hAnsiTheme="majorHAnsi" w:cstheme="majorHAnsi"/>
          <w:sz w:val="24"/>
          <w:szCs w:val="24"/>
          <w:lang w:val="ro-MD"/>
        </w:rPr>
      </w:pPr>
      <w:r w:rsidRPr="00231547">
        <w:rPr>
          <w:rFonts w:asciiTheme="majorHAnsi" w:eastAsiaTheme="minorHAnsi" w:hAnsiTheme="majorHAnsi" w:cstheme="majorHAnsi"/>
          <w:sz w:val="24"/>
          <w:szCs w:val="24"/>
          <w:lang w:val="ro-MD"/>
        </w:rPr>
        <w:t>Î</w:t>
      </w:r>
      <w:r w:rsidR="00DD5453" w:rsidRPr="00231547">
        <w:rPr>
          <w:rFonts w:asciiTheme="majorHAnsi" w:eastAsiaTheme="minorHAnsi" w:hAnsiTheme="majorHAnsi" w:cstheme="majorHAnsi"/>
          <w:sz w:val="24"/>
          <w:szCs w:val="24"/>
          <w:lang w:val="ro-MD"/>
        </w:rPr>
        <w:t>n anul 2020, misiuni</w:t>
      </w:r>
      <w:r w:rsidR="00D365AB" w:rsidRPr="00231547">
        <w:rPr>
          <w:rFonts w:asciiTheme="majorHAnsi" w:eastAsiaTheme="minorHAnsi" w:hAnsiTheme="majorHAnsi" w:cstheme="majorHAnsi"/>
          <w:sz w:val="24"/>
          <w:szCs w:val="24"/>
          <w:lang w:val="ro-MD"/>
        </w:rPr>
        <w:t>le</w:t>
      </w:r>
      <w:r w:rsidR="00DD5453" w:rsidRPr="00231547">
        <w:rPr>
          <w:rFonts w:asciiTheme="majorHAnsi" w:eastAsiaTheme="minorHAnsi" w:hAnsiTheme="majorHAnsi" w:cstheme="majorHAnsi"/>
          <w:sz w:val="24"/>
          <w:szCs w:val="24"/>
          <w:lang w:val="ro-MD"/>
        </w:rPr>
        <w:t xml:space="preserve"> diplomatice și oficii</w:t>
      </w:r>
      <w:r w:rsidR="00D365AB" w:rsidRPr="00231547">
        <w:rPr>
          <w:rFonts w:asciiTheme="majorHAnsi" w:eastAsiaTheme="minorHAnsi" w:hAnsiTheme="majorHAnsi" w:cstheme="majorHAnsi"/>
          <w:sz w:val="24"/>
          <w:szCs w:val="24"/>
          <w:lang w:val="ro-MD"/>
        </w:rPr>
        <w:t>le</w:t>
      </w:r>
      <w:r w:rsidR="00DD5453" w:rsidRPr="00231547">
        <w:rPr>
          <w:rFonts w:asciiTheme="majorHAnsi" w:eastAsiaTheme="minorHAnsi" w:hAnsiTheme="majorHAnsi" w:cstheme="majorHAnsi"/>
          <w:sz w:val="24"/>
          <w:szCs w:val="24"/>
          <w:lang w:val="ro-MD"/>
        </w:rPr>
        <w:t xml:space="preserve"> consulare au încheiat </w:t>
      </w:r>
      <w:r w:rsidR="004F5000" w:rsidRPr="00231547">
        <w:rPr>
          <w:rFonts w:asciiTheme="majorHAnsi" w:eastAsiaTheme="minorHAnsi" w:hAnsiTheme="majorHAnsi" w:cstheme="majorHAnsi"/>
          <w:sz w:val="24"/>
          <w:szCs w:val="24"/>
          <w:lang w:val="ro-MD"/>
        </w:rPr>
        <w:t xml:space="preserve">cu persoane fizice </w:t>
      </w:r>
      <w:r w:rsidR="00DD5453" w:rsidRPr="00231547">
        <w:rPr>
          <w:rFonts w:asciiTheme="majorHAnsi" w:eastAsiaTheme="minorHAnsi" w:hAnsiTheme="majorHAnsi" w:cstheme="majorHAnsi"/>
          <w:sz w:val="24"/>
          <w:szCs w:val="24"/>
          <w:lang w:val="ro-MD"/>
        </w:rPr>
        <w:t xml:space="preserve">159 de contracte de prestări servicii, dintre care: 53 </w:t>
      </w:r>
      <w:r w:rsidR="00071266" w:rsidRPr="00231547">
        <w:rPr>
          <w:rFonts w:asciiTheme="majorHAnsi" w:eastAsiaTheme="minorHAnsi" w:hAnsiTheme="majorHAnsi" w:cstheme="majorHAnsi"/>
          <w:sz w:val="24"/>
          <w:szCs w:val="24"/>
          <w:lang w:val="ro-MD"/>
        </w:rPr>
        <w:t>–</w:t>
      </w:r>
      <w:r w:rsidR="00DD5453" w:rsidRPr="00231547">
        <w:rPr>
          <w:rFonts w:asciiTheme="majorHAnsi" w:eastAsiaTheme="minorHAnsi" w:hAnsiTheme="majorHAnsi" w:cstheme="majorHAnsi"/>
          <w:sz w:val="24"/>
          <w:szCs w:val="24"/>
          <w:lang w:val="ro-MD"/>
        </w:rPr>
        <w:t xml:space="preserve"> </w:t>
      </w:r>
      <w:r w:rsidR="00071266" w:rsidRPr="00231547">
        <w:rPr>
          <w:rFonts w:asciiTheme="majorHAnsi" w:eastAsiaTheme="minorHAnsi" w:hAnsiTheme="majorHAnsi" w:cstheme="majorHAnsi"/>
          <w:sz w:val="24"/>
          <w:szCs w:val="24"/>
          <w:lang w:val="ro-MD"/>
        </w:rPr>
        <w:t xml:space="preserve">cu </w:t>
      </w:r>
      <w:r w:rsidR="00DD5453" w:rsidRPr="00231547">
        <w:rPr>
          <w:rFonts w:asciiTheme="majorHAnsi" w:eastAsiaTheme="minorHAnsi" w:hAnsiTheme="majorHAnsi" w:cstheme="majorHAnsi"/>
          <w:sz w:val="24"/>
          <w:szCs w:val="24"/>
          <w:lang w:val="ro-MD"/>
        </w:rPr>
        <w:t xml:space="preserve">asistenți consulari/traduceri și secretariat, 88 </w:t>
      </w:r>
      <w:r w:rsidR="008B0FF0" w:rsidRPr="00231547">
        <w:rPr>
          <w:rFonts w:asciiTheme="majorHAnsi" w:eastAsiaTheme="minorHAnsi" w:hAnsiTheme="majorHAnsi" w:cstheme="majorHAnsi"/>
          <w:sz w:val="24"/>
          <w:szCs w:val="24"/>
          <w:lang w:val="ro-MD"/>
        </w:rPr>
        <w:t>–</w:t>
      </w:r>
      <w:r w:rsidR="00DD5453" w:rsidRPr="00231547">
        <w:rPr>
          <w:rFonts w:asciiTheme="majorHAnsi" w:eastAsiaTheme="minorHAnsi" w:hAnsiTheme="majorHAnsi" w:cstheme="majorHAnsi"/>
          <w:sz w:val="24"/>
          <w:szCs w:val="24"/>
          <w:lang w:val="ro-MD"/>
        </w:rPr>
        <w:t xml:space="preserve"> </w:t>
      </w:r>
      <w:r w:rsidR="008B0FF0" w:rsidRPr="00231547">
        <w:rPr>
          <w:rFonts w:asciiTheme="majorHAnsi" w:eastAsiaTheme="minorHAnsi" w:hAnsiTheme="majorHAnsi" w:cstheme="majorHAnsi"/>
          <w:sz w:val="24"/>
          <w:szCs w:val="24"/>
          <w:lang w:val="ro-MD"/>
        </w:rPr>
        <w:t xml:space="preserve">cu </w:t>
      </w:r>
      <w:r w:rsidR="00DD5453" w:rsidRPr="00231547">
        <w:rPr>
          <w:rFonts w:asciiTheme="majorHAnsi" w:eastAsiaTheme="minorHAnsi" w:hAnsiTheme="majorHAnsi" w:cstheme="majorHAnsi"/>
          <w:sz w:val="24"/>
          <w:szCs w:val="24"/>
          <w:lang w:val="ro-MD"/>
        </w:rPr>
        <w:t>personal tehnic și servicii de menaj</w:t>
      </w:r>
      <w:r w:rsidR="00071266" w:rsidRPr="00231547">
        <w:rPr>
          <w:rFonts w:asciiTheme="majorHAnsi" w:eastAsiaTheme="minorHAnsi" w:hAnsiTheme="majorHAnsi" w:cstheme="majorHAnsi"/>
          <w:sz w:val="24"/>
          <w:szCs w:val="24"/>
          <w:lang w:val="ro-MD"/>
        </w:rPr>
        <w:t>,</w:t>
      </w:r>
      <w:r w:rsidR="00DD5453" w:rsidRPr="00231547">
        <w:rPr>
          <w:rFonts w:asciiTheme="majorHAnsi" w:eastAsiaTheme="minorHAnsi" w:hAnsiTheme="majorHAnsi" w:cstheme="majorHAnsi"/>
          <w:sz w:val="24"/>
          <w:szCs w:val="24"/>
          <w:lang w:val="ro-MD"/>
        </w:rPr>
        <w:t xml:space="preserve"> și 18 contracte/contracte adiționale cu 12 șoferi. Ca rezultat, la </w:t>
      </w:r>
      <w:proofErr w:type="spellStart"/>
      <w:r w:rsidR="00DD5453" w:rsidRPr="00231547">
        <w:rPr>
          <w:rFonts w:asciiTheme="majorHAnsi" w:eastAsiaTheme="minorHAnsi" w:hAnsiTheme="majorHAnsi" w:cstheme="majorHAnsi"/>
          <w:sz w:val="24"/>
          <w:szCs w:val="24"/>
          <w:lang w:val="ro-MD"/>
        </w:rPr>
        <w:t>subcontul</w:t>
      </w:r>
      <w:proofErr w:type="spellEnd"/>
      <w:r w:rsidR="00DD5453" w:rsidRPr="00231547">
        <w:rPr>
          <w:rFonts w:asciiTheme="majorHAnsi" w:eastAsiaTheme="minorHAnsi" w:hAnsiTheme="majorHAnsi" w:cstheme="majorHAnsi"/>
          <w:sz w:val="24"/>
          <w:szCs w:val="24"/>
          <w:lang w:val="ro-MD"/>
        </w:rPr>
        <w:t xml:space="preserve"> „Alte cheltuieli în bază de contracte cu persoane fizice” au fost înregistrate cheltuieli efective în sumă de 18,9 mil. lei. </w:t>
      </w:r>
    </w:p>
    <w:p w14:paraId="6616596D" w14:textId="59E50B43" w:rsidR="00DD5453" w:rsidRPr="00231547" w:rsidRDefault="00DD5453" w:rsidP="00B12D2F">
      <w:pPr>
        <w:spacing w:after="0"/>
        <w:jc w:val="both"/>
        <w:rPr>
          <w:rFonts w:asciiTheme="majorHAnsi" w:eastAsiaTheme="minorHAnsi" w:hAnsiTheme="majorHAnsi" w:cstheme="majorHAnsi"/>
          <w:sz w:val="24"/>
          <w:szCs w:val="24"/>
          <w:lang w:val="ro-MD"/>
        </w:rPr>
      </w:pPr>
      <w:r w:rsidRPr="00231547">
        <w:rPr>
          <w:rFonts w:asciiTheme="majorHAnsi" w:eastAsiaTheme="minorHAnsi" w:hAnsiTheme="majorHAnsi" w:cstheme="majorHAnsi"/>
          <w:sz w:val="24"/>
          <w:szCs w:val="24"/>
          <w:lang w:val="ro-MD"/>
        </w:rPr>
        <w:t>Dintre ce</w:t>
      </w:r>
      <w:r w:rsidR="008B0FF0" w:rsidRPr="00231547">
        <w:rPr>
          <w:rFonts w:asciiTheme="majorHAnsi" w:eastAsiaTheme="minorHAnsi" w:hAnsiTheme="majorHAnsi" w:cstheme="majorHAnsi"/>
          <w:sz w:val="24"/>
          <w:szCs w:val="24"/>
          <w:lang w:val="ro-MD"/>
        </w:rPr>
        <w:t>le</w:t>
      </w:r>
      <w:r w:rsidRPr="00231547">
        <w:rPr>
          <w:rFonts w:asciiTheme="majorHAnsi" w:eastAsiaTheme="minorHAnsi" w:hAnsiTheme="majorHAnsi" w:cstheme="majorHAnsi"/>
          <w:sz w:val="24"/>
          <w:szCs w:val="24"/>
          <w:lang w:val="ro-MD"/>
        </w:rPr>
        <w:t xml:space="preserve"> 53 </w:t>
      </w:r>
      <w:r w:rsidR="008B0FF0" w:rsidRPr="00231547">
        <w:rPr>
          <w:rFonts w:asciiTheme="majorHAnsi" w:eastAsiaTheme="minorHAnsi" w:hAnsiTheme="majorHAnsi" w:cstheme="majorHAnsi"/>
          <w:sz w:val="24"/>
          <w:szCs w:val="24"/>
          <w:lang w:val="ro-MD"/>
        </w:rPr>
        <w:t xml:space="preserve">de </w:t>
      </w:r>
      <w:r w:rsidRPr="00231547">
        <w:rPr>
          <w:rFonts w:asciiTheme="majorHAnsi" w:eastAsiaTheme="minorHAnsi" w:hAnsiTheme="majorHAnsi" w:cstheme="majorHAnsi"/>
          <w:sz w:val="24"/>
          <w:szCs w:val="24"/>
          <w:lang w:val="ro-MD"/>
        </w:rPr>
        <w:t xml:space="preserve">persoane angajate în funcția de asistenți consulari/traduceri </w:t>
      </w:r>
      <w:r w:rsidR="008B0FF0" w:rsidRPr="00231547">
        <w:rPr>
          <w:rFonts w:asciiTheme="majorHAnsi" w:eastAsiaTheme="minorHAnsi" w:hAnsiTheme="majorHAnsi" w:cstheme="majorHAnsi"/>
          <w:sz w:val="24"/>
          <w:szCs w:val="24"/>
          <w:lang w:val="ro-MD"/>
        </w:rPr>
        <w:t xml:space="preserve">și </w:t>
      </w:r>
      <w:r w:rsidRPr="00231547">
        <w:rPr>
          <w:rFonts w:asciiTheme="majorHAnsi" w:eastAsiaTheme="minorHAnsi" w:hAnsiTheme="majorHAnsi" w:cstheme="majorHAnsi"/>
          <w:sz w:val="24"/>
          <w:szCs w:val="24"/>
          <w:lang w:val="ro-MD"/>
        </w:rPr>
        <w:t>secretariat</w:t>
      </w:r>
      <w:r w:rsidR="008B0FF0" w:rsidRPr="00231547">
        <w:rPr>
          <w:rFonts w:asciiTheme="majorHAnsi" w:eastAsiaTheme="minorHAnsi" w:hAnsiTheme="majorHAnsi" w:cstheme="majorHAnsi"/>
          <w:sz w:val="24"/>
          <w:szCs w:val="24"/>
          <w:lang w:val="ro-MD"/>
        </w:rPr>
        <w:t>,</w:t>
      </w:r>
      <w:r w:rsidRPr="00231547">
        <w:rPr>
          <w:rFonts w:asciiTheme="majorHAnsi" w:eastAsiaTheme="minorHAnsi" w:hAnsiTheme="majorHAnsi" w:cstheme="majorHAnsi"/>
          <w:sz w:val="24"/>
          <w:szCs w:val="24"/>
          <w:lang w:val="ro-MD"/>
        </w:rPr>
        <w:t xml:space="preserve"> 9 sunt rude de gradul I al</w:t>
      </w:r>
      <w:r w:rsidR="008B0FF0" w:rsidRPr="00231547">
        <w:rPr>
          <w:rFonts w:asciiTheme="majorHAnsi" w:eastAsiaTheme="minorHAnsi" w:hAnsiTheme="majorHAnsi" w:cstheme="majorHAnsi"/>
          <w:sz w:val="24"/>
          <w:szCs w:val="24"/>
          <w:lang w:val="ro-MD"/>
        </w:rPr>
        <w:t>e</w:t>
      </w:r>
      <w:r w:rsidRPr="00231547">
        <w:rPr>
          <w:rFonts w:asciiTheme="majorHAnsi" w:eastAsiaTheme="minorHAnsi" w:hAnsiTheme="majorHAnsi" w:cstheme="majorHAnsi"/>
          <w:sz w:val="24"/>
          <w:szCs w:val="24"/>
          <w:lang w:val="ro-MD"/>
        </w:rPr>
        <w:t xml:space="preserve"> diplomaților și angajaților </w:t>
      </w:r>
      <w:r w:rsidR="008B0FF0" w:rsidRPr="00231547">
        <w:rPr>
          <w:rFonts w:asciiTheme="majorHAnsi" w:eastAsiaTheme="minorHAnsi" w:hAnsiTheme="majorHAnsi" w:cstheme="majorHAnsi"/>
          <w:sz w:val="24"/>
          <w:szCs w:val="24"/>
          <w:lang w:val="ro-MD"/>
        </w:rPr>
        <w:t>misiunilor diplomatice și oficiilor consulare</w:t>
      </w:r>
      <w:r w:rsidRPr="00231547">
        <w:rPr>
          <w:rFonts w:asciiTheme="majorHAnsi" w:eastAsiaTheme="minorHAnsi" w:hAnsiTheme="majorHAnsi" w:cstheme="majorHAnsi"/>
          <w:sz w:val="24"/>
          <w:szCs w:val="24"/>
          <w:vertAlign w:val="superscript"/>
          <w:lang w:val="ro-MD"/>
        </w:rPr>
        <w:footnoteReference w:id="8"/>
      </w:r>
      <w:r w:rsidR="008B0FF0" w:rsidRPr="00231547">
        <w:rPr>
          <w:rFonts w:asciiTheme="majorHAnsi" w:eastAsiaTheme="minorHAnsi" w:hAnsiTheme="majorHAnsi" w:cstheme="majorHAnsi"/>
          <w:sz w:val="24"/>
          <w:szCs w:val="24"/>
          <w:lang w:val="ro-MD"/>
        </w:rPr>
        <w:t>,</w:t>
      </w:r>
      <w:r w:rsidRPr="00231547">
        <w:rPr>
          <w:rFonts w:asciiTheme="majorHAnsi" w:eastAsiaTheme="minorHAnsi" w:hAnsiTheme="majorHAnsi" w:cstheme="majorHAnsi"/>
          <w:sz w:val="24"/>
          <w:szCs w:val="24"/>
          <w:lang w:val="ro-MD"/>
        </w:rPr>
        <w:t xml:space="preserve"> pentru care au fost achitate salarii în sumă totală de 1,5 mil. lei, salariul achitat anual variind de la 62,7</w:t>
      </w:r>
      <w:r w:rsidR="0072628B" w:rsidRPr="00231547">
        <w:rPr>
          <w:rFonts w:asciiTheme="majorHAnsi" w:eastAsiaTheme="minorHAnsi" w:hAnsiTheme="majorHAnsi" w:cstheme="majorHAnsi"/>
          <w:sz w:val="24"/>
          <w:szCs w:val="24"/>
          <w:lang w:val="ro-MD"/>
        </w:rPr>
        <w:t xml:space="preserve"> mii lei până la 263,8 mii lei (</w:t>
      </w:r>
      <w:r w:rsidR="008B0FF0" w:rsidRPr="00231547">
        <w:rPr>
          <w:rFonts w:asciiTheme="majorHAnsi" w:eastAsiaTheme="minorHAnsi" w:hAnsiTheme="majorHAnsi" w:cstheme="majorHAnsi"/>
          <w:sz w:val="24"/>
          <w:szCs w:val="24"/>
          <w:lang w:val="ro-MD"/>
        </w:rPr>
        <w:t xml:space="preserve">la </w:t>
      </w:r>
      <w:r w:rsidRPr="00231547">
        <w:rPr>
          <w:rFonts w:asciiTheme="majorHAnsi" w:eastAsiaTheme="minorHAnsi" w:hAnsiTheme="majorHAnsi" w:cstheme="majorHAnsi"/>
          <w:sz w:val="24"/>
          <w:szCs w:val="24"/>
          <w:lang w:val="ro-MD"/>
        </w:rPr>
        <w:t>Ambasada Republicii Moldova în Republica Federal</w:t>
      </w:r>
      <w:r w:rsidR="00D365AB" w:rsidRPr="00231547">
        <w:rPr>
          <w:rFonts w:asciiTheme="majorHAnsi" w:eastAsiaTheme="minorHAnsi" w:hAnsiTheme="majorHAnsi" w:cstheme="majorHAnsi"/>
          <w:sz w:val="24"/>
          <w:szCs w:val="24"/>
          <w:lang w:val="ro-MD"/>
        </w:rPr>
        <w:t>ă German</w:t>
      </w:r>
      <w:r w:rsidR="004F5000" w:rsidRPr="00231547">
        <w:rPr>
          <w:rFonts w:asciiTheme="majorHAnsi" w:eastAsiaTheme="minorHAnsi" w:hAnsiTheme="majorHAnsi" w:cstheme="majorHAnsi"/>
          <w:sz w:val="24"/>
          <w:szCs w:val="24"/>
          <w:lang w:val="ro-MD"/>
        </w:rPr>
        <w:t>ia</w:t>
      </w:r>
      <w:r w:rsidR="008B0FF0" w:rsidRPr="00231547">
        <w:rPr>
          <w:rFonts w:asciiTheme="majorHAnsi" w:eastAsiaTheme="minorHAnsi" w:hAnsiTheme="majorHAnsi" w:cstheme="majorHAnsi"/>
          <w:sz w:val="24"/>
          <w:szCs w:val="24"/>
          <w:lang w:val="ro-MD"/>
        </w:rPr>
        <w:t>,</w:t>
      </w:r>
      <w:r w:rsidR="00D365AB" w:rsidRPr="00231547">
        <w:rPr>
          <w:rFonts w:asciiTheme="majorHAnsi" w:eastAsiaTheme="minorHAnsi" w:hAnsiTheme="majorHAnsi" w:cstheme="majorHAnsi"/>
          <w:sz w:val="24"/>
          <w:szCs w:val="24"/>
          <w:lang w:val="ro-MD"/>
        </w:rPr>
        <w:t xml:space="preserve"> </w:t>
      </w:r>
      <w:r w:rsidR="00CB5A52" w:rsidRPr="00231547">
        <w:rPr>
          <w:rFonts w:asciiTheme="majorHAnsi" w:eastAsiaTheme="minorHAnsi" w:hAnsiTheme="majorHAnsi" w:cstheme="majorHAnsi"/>
          <w:sz w:val="24"/>
          <w:szCs w:val="24"/>
          <w:lang w:val="ro-MD"/>
        </w:rPr>
        <w:t xml:space="preserve">pentru </w:t>
      </w:r>
      <w:r w:rsidR="00D365AB" w:rsidRPr="00231547">
        <w:rPr>
          <w:rFonts w:asciiTheme="majorHAnsi" w:eastAsiaTheme="minorHAnsi" w:hAnsiTheme="majorHAnsi" w:cstheme="majorHAnsi"/>
          <w:sz w:val="24"/>
          <w:szCs w:val="24"/>
          <w:lang w:val="ro-MD"/>
        </w:rPr>
        <w:t>2 angajați</w:t>
      </w:r>
      <w:r w:rsidR="008B0FF0" w:rsidRPr="00231547">
        <w:rPr>
          <w:rFonts w:asciiTheme="majorHAnsi" w:eastAsiaTheme="minorHAnsi" w:hAnsiTheme="majorHAnsi" w:cstheme="majorHAnsi"/>
          <w:sz w:val="24"/>
          <w:szCs w:val="24"/>
          <w:lang w:val="ro-MD"/>
        </w:rPr>
        <w:t xml:space="preserve"> </w:t>
      </w:r>
      <w:r w:rsidR="00FA68AF" w:rsidRPr="00231547">
        <w:rPr>
          <w:rFonts w:asciiTheme="majorHAnsi" w:eastAsiaTheme="minorHAnsi" w:hAnsiTheme="majorHAnsi" w:cstheme="majorHAnsi"/>
          <w:sz w:val="24"/>
          <w:szCs w:val="24"/>
          <w:lang w:val="ro-MD"/>
        </w:rPr>
        <w:t>retribu</w:t>
      </w:r>
      <w:r w:rsidR="00CB5A52" w:rsidRPr="00231547">
        <w:rPr>
          <w:rFonts w:asciiTheme="majorHAnsi" w:eastAsiaTheme="minorHAnsi" w:hAnsiTheme="majorHAnsi" w:cstheme="majorHAnsi"/>
          <w:sz w:val="24"/>
          <w:szCs w:val="24"/>
          <w:lang w:val="ro-MD"/>
        </w:rPr>
        <w:t>irea</w:t>
      </w:r>
      <w:r w:rsidR="00FA68AF" w:rsidRPr="00231547">
        <w:rPr>
          <w:rFonts w:asciiTheme="majorHAnsi" w:eastAsiaTheme="minorHAnsi" w:hAnsiTheme="majorHAnsi" w:cstheme="majorHAnsi"/>
          <w:sz w:val="24"/>
          <w:szCs w:val="24"/>
          <w:lang w:val="ro-MD"/>
        </w:rPr>
        <w:t xml:space="preserve"> anuală</w:t>
      </w:r>
      <w:r w:rsidRPr="00231547">
        <w:rPr>
          <w:rFonts w:asciiTheme="majorHAnsi" w:eastAsiaTheme="minorHAnsi" w:hAnsiTheme="majorHAnsi" w:cstheme="majorHAnsi"/>
          <w:sz w:val="24"/>
          <w:szCs w:val="24"/>
          <w:lang w:val="ro-MD"/>
        </w:rPr>
        <w:t xml:space="preserve"> </w:t>
      </w:r>
      <w:r w:rsidR="00CB5A52" w:rsidRPr="00231547">
        <w:rPr>
          <w:rFonts w:asciiTheme="majorHAnsi" w:eastAsiaTheme="minorHAnsi" w:hAnsiTheme="majorHAnsi" w:cstheme="majorHAnsi"/>
          <w:sz w:val="24"/>
          <w:szCs w:val="24"/>
          <w:lang w:val="ro-MD"/>
        </w:rPr>
        <w:t>constituie</w:t>
      </w:r>
      <w:r w:rsidR="008B0FF0" w:rsidRPr="00231547">
        <w:rPr>
          <w:rFonts w:asciiTheme="majorHAnsi" w:eastAsiaTheme="minorHAnsi" w:hAnsiTheme="majorHAnsi" w:cstheme="majorHAnsi"/>
          <w:sz w:val="24"/>
          <w:szCs w:val="24"/>
          <w:lang w:val="ro-MD"/>
        </w:rPr>
        <w:t xml:space="preserve"> </w:t>
      </w:r>
      <w:r w:rsidRPr="00231547">
        <w:rPr>
          <w:rFonts w:asciiTheme="majorHAnsi" w:eastAsiaTheme="minorHAnsi" w:hAnsiTheme="majorHAnsi" w:cstheme="majorHAnsi"/>
          <w:sz w:val="24"/>
          <w:szCs w:val="24"/>
          <w:lang w:val="ro-MD"/>
        </w:rPr>
        <w:t>263,8 și</w:t>
      </w:r>
      <w:r w:rsidR="00A122AD" w:rsidRPr="00231547">
        <w:rPr>
          <w:rFonts w:asciiTheme="majorHAnsi" w:eastAsiaTheme="minorHAnsi" w:hAnsiTheme="majorHAnsi" w:cstheme="majorHAnsi"/>
          <w:sz w:val="24"/>
          <w:szCs w:val="24"/>
          <w:lang w:val="ro-MD"/>
        </w:rPr>
        <w:t>, respectiv,</w:t>
      </w:r>
      <w:r w:rsidRPr="00231547">
        <w:rPr>
          <w:rFonts w:asciiTheme="majorHAnsi" w:eastAsiaTheme="minorHAnsi" w:hAnsiTheme="majorHAnsi" w:cstheme="majorHAnsi"/>
          <w:sz w:val="24"/>
          <w:szCs w:val="24"/>
          <w:lang w:val="ro-MD"/>
        </w:rPr>
        <w:t xml:space="preserve"> 187,8 mii lei, Ambasada Republicii Moldova în România (259,9 mii lei), Ambasada Republicii Moldova în Federația Rusă (239,3 mii lei)</w:t>
      </w:r>
      <w:r w:rsidR="0072628B" w:rsidRPr="00231547">
        <w:rPr>
          <w:rFonts w:asciiTheme="majorHAnsi" w:eastAsiaTheme="minorHAnsi" w:hAnsiTheme="majorHAnsi" w:cstheme="majorHAnsi"/>
          <w:sz w:val="24"/>
          <w:szCs w:val="24"/>
          <w:lang w:val="ro-MD"/>
        </w:rPr>
        <w:t>)</w:t>
      </w:r>
      <w:r w:rsidRPr="00231547">
        <w:rPr>
          <w:rFonts w:asciiTheme="majorHAnsi" w:eastAsiaTheme="minorHAnsi" w:hAnsiTheme="majorHAnsi" w:cstheme="majorHAnsi"/>
          <w:sz w:val="24"/>
          <w:szCs w:val="24"/>
          <w:lang w:val="ro-MD"/>
        </w:rPr>
        <w:t>. Totodată, conform cadrului legal</w:t>
      </w:r>
      <w:r w:rsidRPr="00231547">
        <w:rPr>
          <w:rFonts w:asciiTheme="majorHAnsi" w:eastAsiaTheme="minorHAnsi" w:hAnsiTheme="majorHAnsi" w:cstheme="majorHAnsi"/>
          <w:sz w:val="24"/>
          <w:szCs w:val="24"/>
          <w:vertAlign w:val="superscript"/>
          <w:lang w:val="ro-MD"/>
        </w:rPr>
        <w:footnoteReference w:id="9"/>
      </w:r>
      <w:r w:rsidRPr="00231547">
        <w:rPr>
          <w:rFonts w:asciiTheme="majorHAnsi" w:eastAsiaTheme="minorHAnsi" w:hAnsiTheme="majorHAnsi" w:cstheme="majorHAnsi"/>
          <w:sz w:val="24"/>
          <w:szCs w:val="24"/>
          <w:lang w:val="ro-MD"/>
        </w:rPr>
        <w:t xml:space="preserve">, aceste 9 persoane au beneficiat </w:t>
      </w:r>
      <w:r w:rsidR="0029743B" w:rsidRPr="00231547">
        <w:rPr>
          <w:rFonts w:asciiTheme="majorHAnsi" w:eastAsiaTheme="minorHAnsi" w:hAnsiTheme="majorHAnsi" w:cstheme="majorHAnsi"/>
          <w:sz w:val="24"/>
          <w:szCs w:val="24"/>
          <w:lang w:val="ro-MD"/>
        </w:rPr>
        <w:t xml:space="preserve">concomitent </w:t>
      </w:r>
      <w:r w:rsidRPr="00231547">
        <w:rPr>
          <w:rFonts w:asciiTheme="majorHAnsi" w:eastAsiaTheme="minorHAnsi" w:hAnsiTheme="majorHAnsi" w:cstheme="majorHAnsi"/>
          <w:sz w:val="24"/>
          <w:szCs w:val="24"/>
          <w:lang w:val="ro-MD"/>
        </w:rPr>
        <w:t>și de indemnizații lunare în sumă totală de 46,6 mii euro (circa 0,9 mil. lei), care</w:t>
      </w:r>
      <w:r w:rsidR="00F92F03" w:rsidRPr="00231547">
        <w:rPr>
          <w:rFonts w:asciiTheme="majorHAnsi" w:eastAsiaTheme="minorHAnsi" w:hAnsiTheme="majorHAnsi" w:cstheme="majorHAnsi"/>
          <w:sz w:val="24"/>
          <w:szCs w:val="24"/>
          <w:lang w:val="ro-MD"/>
        </w:rPr>
        <w:t xml:space="preserve"> anual</w:t>
      </w:r>
      <w:r w:rsidRPr="00231547">
        <w:rPr>
          <w:rFonts w:asciiTheme="majorHAnsi" w:eastAsiaTheme="minorHAnsi" w:hAnsiTheme="majorHAnsi" w:cstheme="majorHAnsi"/>
          <w:sz w:val="24"/>
          <w:szCs w:val="24"/>
          <w:lang w:val="ro-MD"/>
        </w:rPr>
        <w:t xml:space="preserve"> în funcție de perioad</w:t>
      </w:r>
      <w:r w:rsidR="004F5000" w:rsidRPr="00231547">
        <w:rPr>
          <w:rFonts w:asciiTheme="majorHAnsi" w:eastAsiaTheme="minorHAnsi" w:hAnsiTheme="majorHAnsi" w:cstheme="majorHAnsi"/>
          <w:sz w:val="24"/>
          <w:szCs w:val="24"/>
          <w:lang w:val="ro-MD"/>
        </w:rPr>
        <w:t>a</w:t>
      </w:r>
      <w:r w:rsidRPr="00231547">
        <w:rPr>
          <w:rFonts w:asciiTheme="majorHAnsi" w:eastAsiaTheme="minorHAnsi" w:hAnsiTheme="majorHAnsi" w:cstheme="majorHAnsi"/>
          <w:sz w:val="24"/>
          <w:szCs w:val="24"/>
          <w:lang w:val="ro-MD"/>
        </w:rPr>
        <w:t>/țar</w:t>
      </w:r>
      <w:r w:rsidR="004F5000" w:rsidRPr="00231547">
        <w:rPr>
          <w:rFonts w:asciiTheme="majorHAnsi" w:eastAsiaTheme="minorHAnsi" w:hAnsiTheme="majorHAnsi" w:cstheme="majorHAnsi"/>
          <w:sz w:val="24"/>
          <w:szCs w:val="24"/>
          <w:lang w:val="ro-MD"/>
        </w:rPr>
        <w:t>a</w:t>
      </w:r>
      <w:r w:rsidRPr="00231547">
        <w:rPr>
          <w:rFonts w:asciiTheme="majorHAnsi" w:eastAsiaTheme="minorHAnsi" w:hAnsiTheme="majorHAnsi" w:cstheme="majorHAnsi"/>
          <w:sz w:val="24"/>
          <w:szCs w:val="24"/>
          <w:lang w:val="ro-MD"/>
        </w:rPr>
        <w:t xml:space="preserve"> și funcția angajatului variază de la 3062 până la 9600 euro. </w:t>
      </w:r>
    </w:p>
    <w:p w14:paraId="02719EE4" w14:textId="77777777" w:rsidR="00DD5453" w:rsidRPr="00231547" w:rsidRDefault="00DD5453" w:rsidP="00B12D2F">
      <w:pPr>
        <w:spacing w:after="0"/>
        <w:jc w:val="both"/>
        <w:rPr>
          <w:rFonts w:asciiTheme="majorHAnsi" w:eastAsiaTheme="minorHAnsi" w:hAnsiTheme="majorHAnsi" w:cstheme="majorHAnsi"/>
          <w:sz w:val="8"/>
          <w:szCs w:val="8"/>
          <w:lang w:val="ro-MD"/>
        </w:rPr>
      </w:pPr>
    </w:p>
    <w:p w14:paraId="1E643C38" w14:textId="1E5093BD" w:rsidR="00DD5453" w:rsidRPr="00231547" w:rsidRDefault="00E5749D" w:rsidP="00AB0819">
      <w:pPr>
        <w:spacing w:after="160"/>
        <w:jc w:val="both"/>
        <w:rPr>
          <w:rFonts w:asciiTheme="majorHAnsi" w:eastAsiaTheme="minorHAnsi" w:hAnsiTheme="majorHAnsi" w:cstheme="majorHAnsi"/>
          <w:sz w:val="24"/>
          <w:szCs w:val="24"/>
          <w:lang w:val="ro-MD"/>
        </w:rPr>
      </w:pPr>
      <w:r w:rsidRPr="00231547">
        <w:rPr>
          <w:rFonts w:asciiTheme="majorHAnsi" w:eastAsiaTheme="minorHAnsi" w:hAnsiTheme="majorHAnsi" w:cstheme="majorHAnsi"/>
          <w:sz w:val="24"/>
          <w:szCs w:val="24"/>
          <w:lang w:val="ro-MD"/>
        </w:rPr>
        <w:t>6 misiuni diplomatice și oficii consulare</w:t>
      </w:r>
      <w:r w:rsidRPr="00231547">
        <w:rPr>
          <w:rFonts w:asciiTheme="majorHAnsi" w:eastAsiaTheme="minorHAnsi" w:hAnsiTheme="majorHAnsi" w:cstheme="majorHAnsi"/>
          <w:sz w:val="24"/>
          <w:szCs w:val="24"/>
          <w:vertAlign w:val="superscript"/>
          <w:lang w:val="ro-MD"/>
        </w:rPr>
        <w:footnoteReference w:id="10"/>
      </w:r>
      <w:r w:rsidRPr="00231547">
        <w:rPr>
          <w:rFonts w:asciiTheme="majorHAnsi" w:eastAsiaTheme="minorHAnsi" w:hAnsiTheme="majorHAnsi" w:cstheme="majorHAnsi"/>
          <w:sz w:val="24"/>
          <w:szCs w:val="24"/>
          <w:lang w:val="ro-MD"/>
        </w:rPr>
        <w:t xml:space="preserve"> au încheiat contracte de prestări servicii </w:t>
      </w:r>
      <w:r w:rsidR="002F1AF7" w:rsidRPr="00231547">
        <w:rPr>
          <w:rFonts w:asciiTheme="majorHAnsi" w:eastAsiaTheme="minorHAnsi" w:hAnsiTheme="majorHAnsi" w:cstheme="majorHAnsi"/>
          <w:sz w:val="24"/>
          <w:szCs w:val="24"/>
          <w:lang w:val="ro-MD"/>
        </w:rPr>
        <w:t>care nu au fost</w:t>
      </w:r>
      <w:r w:rsidRPr="00231547">
        <w:rPr>
          <w:rFonts w:asciiTheme="majorHAnsi" w:eastAsiaTheme="minorHAnsi" w:hAnsiTheme="majorHAnsi" w:cstheme="majorHAnsi"/>
          <w:sz w:val="24"/>
          <w:szCs w:val="24"/>
          <w:lang w:val="ro-MD"/>
        </w:rPr>
        <w:t xml:space="preserve"> coordonate cu Ministerul Afacerilor Externe și Integrării Europene, iar Ambasada Republicii Moldova în Republica Elenă a încheiat contract</w:t>
      </w:r>
      <w:r w:rsidR="00865C78" w:rsidRPr="00231547">
        <w:rPr>
          <w:rFonts w:asciiTheme="majorHAnsi" w:eastAsiaTheme="minorHAnsi" w:hAnsiTheme="majorHAnsi" w:cstheme="majorHAnsi"/>
          <w:sz w:val="24"/>
          <w:szCs w:val="24"/>
          <w:lang w:val="ro-MD"/>
        </w:rPr>
        <w:t>e</w:t>
      </w:r>
      <w:r w:rsidRPr="00231547">
        <w:rPr>
          <w:rFonts w:asciiTheme="majorHAnsi" w:eastAsiaTheme="minorHAnsi" w:hAnsiTheme="majorHAnsi" w:cstheme="majorHAnsi"/>
          <w:sz w:val="24"/>
          <w:szCs w:val="24"/>
          <w:lang w:val="ro-MD"/>
        </w:rPr>
        <w:t xml:space="preserve"> de prestări servicii</w:t>
      </w:r>
      <w:r w:rsidR="0072628B" w:rsidRPr="00231547">
        <w:rPr>
          <w:rFonts w:asciiTheme="majorHAnsi" w:eastAsiaTheme="minorHAnsi" w:hAnsiTheme="majorHAnsi" w:cstheme="majorHAnsi"/>
          <w:sz w:val="24"/>
          <w:szCs w:val="24"/>
          <w:lang w:val="ro-MD"/>
        </w:rPr>
        <w:t xml:space="preserve"> pentru grădinar </w:t>
      </w:r>
      <w:r w:rsidRPr="00231547">
        <w:rPr>
          <w:rFonts w:asciiTheme="majorHAnsi" w:eastAsiaTheme="minorHAnsi" w:hAnsiTheme="majorHAnsi" w:cstheme="majorHAnsi"/>
          <w:sz w:val="24"/>
          <w:szCs w:val="24"/>
          <w:lang w:val="ro-MD"/>
        </w:rPr>
        <w:t xml:space="preserve">(27,2 mii lei) și servicii de spălare a </w:t>
      </w:r>
      <w:r w:rsidR="00982E02" w:rsidRPr="00231547">
        <w:rPr>
          <w:rFonts w:asciiTheme="majorHAnsi" w:eastAsiaTheme="minorHAnsi" w:hAnsiTheme="majorHAnsi" w:cstheme="majorHAnsi"/>
          <w:sz w:val="24"/>
          <w:szCs w:val="24"/>
          <w:lang w:val="ro-MD"/>
        </w:rPr>
        <w:t xml:space="preserve">geamurilor </w:t>
      </w:r>
      <w:r w:rsidRPr="00231547">
        <w:rPr>
          <w:rFonts w:asciiTheme="majorHAnsi" w:eastAsiaTheme="minorHAnsi" w:hAnsiTheme="majorHAnsi" w:cstheme="majorHAnsi"/>
          <w:sz w:val="24"/>
          <w:szCs w:val="24"/>
          <w:lang w:val="ro-MD"/>
        </w:rPr>
        <w:t xml:space="preserve">(11,6 mii lei), deși în contractul pentru servicii de menaj a fost inclus inițial acest serviciu. </w:t>
      </w:r>
    </w:p>
    <w:p w14:paraId="3424E168" w14:textId="2C7E2AB6" w:rsidR="008C70BD" w:rsidRPr="00231547" w:rsidRDefault="00FA68AF" w:rsidP="008C70BD">
      <w:pPr>
        <w:spacing w:after="0"/>
        <w:jc w:val="both"/>
        <w:rPr>
          <w:rFonts w:asciiTheme="majorHAnsi" w:eastAsiaTheme="minorHAnsi" w:hAnsiTheme="majorHAnsi" w:cstheme="majorHAnsi"/>
          <w:sz w:val="24"/>
          <w:szCs w:val="24"/>
          <w:lang w:val="ro-MD"/>
        </w:rPr>
      </w:pPr>
      <w:r w:rsidRPr="00231547">
        <w:rPr>
          <w:rFonts w:asciiTheme="majorHAnsi" w:eastAsiaTheme="minorHAnsi" w:hAnsiTheme="majorHAnsi" w:cstheme="majorHAnsi"/>
          <w:sz w:val="24"/>
          <w:szCs w:val="24"/>
          <w:lang w:val="ro-MD"/>
        </w:rPr>
        <w:t>Totodată,</w:t>
      </w:r>
      <w:r w:rsidR="00DD5453" w:rsidRPr="00231547">
        <w:rPr>
          <w:rFonts w:asciiTheme="majorHAnsi" w:eastAsiaTheme="minorHAnsi" w:hAnsiTheme="majorHAnsi" w:cstheme="majorHAnsi"/>
          <w:sz w:val="24"/>
          <w:szCs w:val="24"/>
          <w:lang w:val="ro-MD"/>
        </w:rPr>
        <w:t xml:space="preserve"> deși statele de personal includ funcția de șofer, Ambasada Republicii Moldova în Republica Federală German</w:t>
      </w:r>
      <w:r w:rsidR="004F5000" w:rsidRPr="00231547">
        <w:rPr>
          <w:rFonts w:asciiTheme="majorHAnsi" w:eastAsiaTheme="minorHAnsi" w:hAnsiTheme="majorHAnsi" w:cstheme="majorHAnsi"/>
          <w:sz w:val="24"/>
          <w:szCs w:val="24"/>
          <w:lang w:val="ro-MD"/>
        </w:rPr>
        <w:t>ia</w:t>
      </w:r>
      <w:r w:rsidR="00DD5453" w:rsidRPr="00231547">
        <w:rPr>
          <w:rFonts w:asciiTheme="majorHAnsi" w:eastAsiaTheme="minorHAnsi" w:hAnsiTheme="majorHAnsi" w:cstheme="majorHAnsi"/>
          <w:sz w:val="24"/>
          <w:szCs w:val="24"/>
          <w:lang w:val="ro-MD"/>
        </w:rPr>
        <w:t xml:space="preserve"> a încheiat suplimentar un contract cu </w:t>
      </w:r>
      <w:r w:rsidR="00E63A80" w:rsidRPr="00231547">
        <w:rPr>
          <w:rFonts w:asciiTheme="majorHAnsi" w:eastAsiaTheme="minorHAnsi" w:hAnsiTheme="majorHAnsi" w:cstheme="majorHAnsi"/>
          <w:sz w:val="24"/>
          <w:szCs w:val="24"/>
          <w:lang w:val="ro-MD"/>
        </w:rPr>
        <w:t xml:space="preserve">o </w:t>
      </w:r>
      <w:r w:rsidR="00DD5453" w:rsidRPr="00231547">
        <w:rPr>
          <w:rFonts w:asciiTheme="majorHAnsi" w:eastAsiaTheme="minorHAnsi" w:hAnsiTheme="majorHAnsi" w:cstheme="majorHAnsi"/>
          <w:sz w:val="24"/>
          <w:szCs w:val="24"/>
          <w:lang w:val="ro-MD"/>
        </w:rPr>
        <w:t>persoană fizică (1440 euro/lunar), fiind</w:t>
      </w:r>
      <w:r w:rsidR="00A01E18" w:rsidRPr="00231547">
        <w:rPr>
          <w:rFonts w:asciiTheme="majorHAnsi" w:eastAsiaTheme="minorHAnsi" w:hAnsiTheme="majorHAnsi" w:cstheme="majorHAnsi"/>
          <w:sz w:val="24"/>
          <w:szCs w:val="24"/>
          <w:lang w:val="ro-MD"/>
        </w:rPr>
        <w:t>u-i</w:t>
      </w:r>
      <w:r w:rsidR="00DD5453" w:rsidRPr="00231547">
        <w:rPr>
          <w:rFonts w:asciiTheme="majorHAnsi" w:eastAsiaTheme="minorHAnsi" w:hAnsiTheme="majorHAnsi" w:cstheme="majorHAnsi"/>
          <w:sz w:val="24"/>
          <w:szCs w:val="24"/>
          <w:lang w:val="ro-MD"/>
        </w:rPr>
        <w:t xml:space="preserve"> achitat</w:t>
      </w:r>
      <w:r w:rsidR="00E63A80" w:rsidRPr="00231547">
        <w:rPr>
          <w:rFonts w:asciiTheme="majorHAnsi" w:eastAsiaTheme="minorHAnsi" w:hAnsiTheme="majorHAnsi" w:cstheme="majorHAnsi"/>
          <w:sz w:val="24"/>
          <w:szCs w:val="24"/>
          <w:lang w:val="ro-MD"/>
        </w:rPr>
        <w:t>e</w:t>
      </w:r>
      <w:r w:rsidR="00DD5453" w:rsidRPr="00231547">
        <w:rPr>
          <w:rFonts w:asciiTheme="majorHAnsi" w:eastAsiaTheme="minorHAnsi" w:hAnsiTheme="majorHAnsi" w:cstheme="majorHAnsi"/>
          <w:sz w:val="24"/>
          <w:szCs w:val="24"/>
          <w:lang w:val="ro-MD"/>
        </w:rPr>
        <w:t xml:space="preserve"> 174,9 mii lei</w:t>
      </w:r>
      <w:r w:rsidR="00A01E18" w:rsidRPr="00231547">
        <w:rPr>
          <w:rFonts w:asciiTheme="majorHAnsi" w:eastAsiaTheme="minorHAnsi" w:hAnsiTheme="majorHAnsi" w:cstheme="majorHAnsi"/>
          <w:sz w:val="24"/>
          <w:szCs w:val="24"/>
          <w:lang w:val="ro-MD"/>
        </w:rPr>
        <w:t>, iar</w:t>
      </w:r>
      <w:r w:rsidR="00DD5453" w:rsidRPr="00231547">
        <w:rPr>
          <w:rFonts w:asciiTheme="majorHAnsi" w:eastAsiaTheme="minorHAnsi" w:hAnsiTheme="majorHAnsi" w:cstheme="majorHAnsi"/>
          <w:sz w:val="24"/>
          <w:szCs w:val="24"/>
          <w:lang w:val="ro-MD"/>
        </w:rPr>
        <w:t xml:space="preserve"> Ambasada Republicii Moldova în România a încheiat </w:t>
      </w:r>
      <w:r w:rsidR="00E63A80" w:rsidRPr="00231547">
        <w:rPr>
          <w:rFonts w:asciiTheme="majorHAnsi" w:eastAsiaTheme="minorHAnsi" w:hAnsiTheme="majorHAnsi" w:cstheme="majorHAnsi"/>
          <w:sz w:val="24"/>
          <w:szCs w:val="24"/>
          <w:lang w:val="ro-MD"/>
        </w:rPr>
        <w:t xml:space="preserve">un </w:t>
      </w:r>
      <w:r w:rsidR="00DD5453" w:rsidRPr="00231547">
        <w:rPr>
          <w:rFonts w:asciiTheme="majorHAnsi" w:eastAsiaTheme="minorHAnsi" w:hAnsiTheme="majorHAnsi" w:cstheme="majorHAnsi"/>
          <w:sz w:val="24"/>
          <w:szCs w:val="24"/>
          <w:lang w:val="ro-MD"/>
        </w:rPr>
        <w:t xml:space="preserve">contract </w:t>
      </w:r>
      <w:r w:rsidR="007721E0" w:rsidRPr="00231547">
        <w:rPr>
          <w:rFonts w:asciiTheme="majorHAnsi" w:eastAsiaTheme="minorHAnsi" w:hAnsiTheme="majorHAnsi" w:cstheme="majorHAnsi"/>
          <w:sz w:val="24"/>
          <w:szCs w:val="24"/>
          <w:lang w:val="ro-MD"/>
        </w:rPr>
        <w:t xml:space="preserve">cu o altă persoană fizică </w:t>
      </w:r>
      <w:r w:rsidR="00DD5453" w:rsidRPr="00231547">
        <w:rPr>
          <w:rFonts w:asciiTheme="majorHAnsi" w:eastAsiaTheme="minorHAnsi" w:hAnsiTheme="majorHAnsi" w:cstheme="majorHAnsi"/>
          <w:sz w:val="24"/>
          <w:szCs w:val="24"/>
          <w:lang w:val="ro-MD"/>
        </w:rPr>
        <w:t>(1000 euro/lunar), fiind</w:t>
      </w:r>
      <w:r w:rsidR="00A01E18" w:rsidRPr="00231547">
        <w:rPr>
          <w:rFonts w:asciiTheme="majorHAnsi" w:eastAsiaTheme="minorHAnsi" w:hAnsiTheme="majorHAnsi" w:cstheme="majorHAnsi"/>
          <w:sz w:val="24"/>
          <w:szCs w:val="24"/>
          <w:lang w:val="ro-MD"/>
        </w:rPr>
        <w:t>u-i</w:t>
      </w:r>
      <w:r w:rsidR="00DD5453" w:rsidRPr="00231547">
        <w:rPr>
          <w:rFonts w:asciiTheme="majorHAnsi" w:eastAsiaTheme="minorHAnsi" w:hAnsiTheme="majorHAnsi" w:cstheme="majorHAnsi"/>
          <w:sz w:val="24"/>
          <w:szCs w:val="24"/>
          <w:lang w:val="ro-MD"/>
        </w:rPr>
        <w:t xml:space="preserve"> achitat</w:t>
      </w:r>
      <w:r w:rsidR="007721E0" w:rsidRPr="00231547">
        <w:rPr>
          <w:rFonts w:asciiTheme="majorHAnsi" w:eastAsiaTheme="minorHAnsi" w:hAnsiTheme="majorHAnsi" w:cstheme="majorHAnsi"/>
          <w:sz w:val="24"/>
          <w:szCs w:val="24"/>
          <w:lang w:val="ro-MD"/>
        </w:rPr>
        <w:t>e</w:t>
      </w:r>
      <w:r w:rsidR="00DD5453" w:rsidRPr="00231547">
        <w:rPr>
          <w:rFonts w:asciiTheme="majorHAnsi" w:eastAsiaTheme="minorHAnsi" w:hAnsiTheme="majorHAnsi" w:cstheme="majorHAnsi"/>
          <w:sz w:val="24"/>
          <w:szCs w:val="24"/>
          <w:lang w:val="ro-MD"/>
        </w:rPr>
        <w:t xml:space="preserve"> 135,3 mii lei.</w:t>
      </w:r>
      <w:r w:rsidR="00D365AB" w:rsidRPr="00231547">
        <w:rPr>
          <w:rFonts w:asciiTheme="majorHAnsi" w:eastAsiaTheme="minorHAnsi" w:hAnsiTheme="majorHAnsi" w:cstheme="majorHAnsi"/>
          <w:sz w:val="24"/>
          <w:szCs w:val="24"/>
          <w:lang w:val="ro-MD"/>
        </w:rPr>
        <w:t xml:space="preserve"> </w:t>
      </w:r>
      <w:r w:rsidR="00A01E18" w:rsidRPr="00231547">
        <w:rPr>
          <w:rFonts w:asciiTheme="majorHAnsi" w:eastAsiaTheme="minorHAnsi" w:hAnsiTheme="majorHAnsi" w:cstheme="majorHAnsi"/>
          <w:sz w:val="24"/>
          <w:szCs w:val="24"/>
          <w:lang w:val="ro-MD"/>
        </w:rPr>
        <w:t>Totodată</w:t>
      </w:r>
      <w:r w:rsidR="00D365AB" w:rsidRPr="00231547">
        <w:rPr>
          <w:rFonts w:asciiTheme="majorHAnsi" w:eastAsiaTheme="minorHAnsi" w:hAnsiTheme="majorHAnsi" w:cstheme="majorHAnsi"/>
          <w:sz w:val="24"/>
          <w:szCs w:val="24"/>
          <w:lang w:val="ro-MD"/>
        </w:rPr>
        <w:t xml:space="preserve">, </w:t>
      </w:r>
      <w:r w:rsidR="00DD5453" w:rsidRPr="00231547">
        <w:rPr>
          <w:rFonts w:asciiTheme="majorHAnsi" w:eastAsiaTheme="minorHAnsi" w:hAnsiTheme="majorHAnsi" w:cstheme="majorHAnsi"/>
          <w:sz w:val="24"/>
          <w:szCs w:val="24"/>
          <w:lang w:val="ro-MD"/>
        </w:rPr>
        <w:t xml:space="preserve">Ambasada Republicii Moldova în Republica Elenă a încheiat </w:t>
      </w:r>
      <w:r w:rsidR="00A01E18" w:rsidRPr="00231547">
        <w:rPr>
          <w:rFonts w:asciiTheme="majorHAnsi" w:eastAsiaTheme="minorHAnsi" w:hAnsiTheme="majorHAnsi" w:cstheme="majorHAnsi"/>
          <w:sz w:val="24"/>
          <w:szCs w:val="24"/>
          <w:lang w:val="ro-MD"/>
        </w:rPr>
        <w:t xml:space="preserve">un </w:t>
      </w:r>
      <w:r w:rsidR="00DD5453" w:rsidRPr="00231547">
        <w:rPr>
          <w:rFonts w:asciiTheme="majorHAnsi" w:eastAsiaTheme="minorHAnsi" w:hAnsiTheme="majorHAnsi" w:cstheme="majorHAnsi"/>
          <w:sz w:val="24"/>
          <w:szCs w:val="24"/>
          <w:lang w:val="ro-MD"/>
        </w:rPr>
        <w:t xml:space="preserve">contract cu </w:t>
      </w:r>
      <w:r w:rsidR="00A01E18" w:rsidRPr="00231547">
        <w:rPr>
          <w:rFonts w:asciiTheme="majorHAnsi" w:eastAsiaTheme="minorHAnsi" w:hAnsiTheme="majorHAnsi" w:cstheme="majorHAnsi"/>
          <w:sz w:val="24"/>
          <w:szCs w:val="24"/>
          <w:lang w:val="ro-MD"/>
        </w:rPr>
        <w:t xml:space="preserve">o </w:t>
      </w:r>
      <w:r w:rsidR="00DD5453" w:rsidRPr="00231547">
        <w:rPr>
          <w:rFonts w:asciiTheme="majorHAnsi" w:eastAsiaTheme="minorHAnsi" w:hAnsiTheme="majorHAnsi" w:cstheme="majorHAnsi"/>
          <w:sz w:val="24"/>
          <w:szCs w:val="24"/>
          <w:lang w:val="ro-MD"/>
        </w:rPr>
        <w:t>persoană fizică (1400/1600 euro lunar), fiindu-i achitat</w:t>
      </w:r>
      <w:r w:rsidR="00A01E18" w:rsidRPr="00231547">
        <w:rPr>
          <w:rFonts w:asciiTheme="majorHAnsi" w:eastAsiaTheme="minorHAnsi" w:hAnsiTheme="majorHAnsi" w:cstheme="majorHAnsi"/>
          <w:sz w:val="24"/>
          <w:szCs w:val="24"/>
          <w:lang w:val="ro-MD"/>
        </w:rPr>
        <w:t>e</w:t>
      </w:r>
      <w:r w:rsidR="00DD5453" w:rsidRPr="00231547">
        <w:rPr>
          <w:rFonts w:asciiTheme="majorHAnsi" w:eastAsiaTheme="minorHAnsi" w:hAnsiTheme="majorHAnsi" w:cstheme="majorHAnsi"/>
          <w:sz w:val="24"/>
          <w:szCs w:val="24"/>
          <w:lang w:val="ro-MD"/>
        </w:rPr>
        <w:t xml:space="preserve"> 325,5 mii lei</w:t>
      </w:r>
      <w:r w:rsidR="00A01E18" w:rsidRPr="00231547">
        <w:rPr>
          <w:rFonts w:asciiTheme="majorHAnsi" w:eastAsiaTheme="minorHAnsi" w:hAnsiTheme="majorHAnsi" w:cstheme="majorHAnsi"/>
          <w:sz w:val="24"/>
          <w:szCs w:val="24"/>
          <w:lang w:val="ro-MD"/>
        </w:rPr>
        <w:t>, iar</w:t>
      </w:r>
      <w:r w:rsidR="00DD5453" w:rsidRPr="00231547">
        <w:rPr>
          <w:rFonts w:asciiTheme="majorHAnsi" w:eastAsiaTheme="minorHAnsi" w:hAnsiTheme="majorHAnsi" w:cstheme="majorHAnsi"/>
          <w:sz w:val="24"/>
          <w:szCs w:val="24"/>
          <w:lang w:val="ro-MD"/>
        </w:rPr>
        <w:t xml:space="preserve"> Ambasada Republicii Moldova în Republica Chineză a încheiat </w:t>
      </w:r>
      <w:r w:rsidR="00A01E18" w:rsidRPr="00231547">
        <w:rPr>
          <w:rFonts w:asciiTheme="majorHAnsi" w:eastAsiaTheme="minorHAnsi" w:hAnsiTheme="majorHAnsi" w:cstheme="majorHAnsi"/>
          <w:sz w:val="24"/>
          <w:szCs w:val="24"/>
          <w:lang w:val="ro-MD"/>
        </w:rPr>
        <w:t xml:space="preserve">un </w:t>
      </w:r>
      <w:r w:rsidR="00DD5453" w:rsidRPr="00231547">
        <w:rPr>
          <w:rFonts w:asciiTheme="majorHAnsi" w:eastAsiaTheme="minorHAnsi" w:hAnsiTheme="majorHAnsi" w:cstheme="majorHAnsi"/>
          <w:sz w:val="24"/>
          <w:szCs w:val="24"/>
          <w:lang w:val="ro-MD"/>
        </w:rPr>
        <w:t xml:space="preserve">contract cu </w:t>
      </w:r>
      <w:r w:rsidR="00A01E18" w:rsidRPr="00231547">
        <w:rPr>
          <w:rFonts w:asciiTheme="majorHAnsi" w:eastAsiaTheme="minorHAnsi" w:hAnsiTheme="majorHAnsi" w:cstheme="majorHAnsi"/>
          <w:sz w:val="24"/>
          <w:szCs w:val="24"/>
          <w:lang w:val="ro-MD"/>
        </w:rPr>
        <w:t xml:space="preserve">o </w:t>
      </w:r>
      <w:r w:rsidR="00DD5453" w:rsidRPr="00231547">
        <w:rPr>
          <w:rFonts w:asciiTheme="majorHAnsi" w:eastAsiaTheme="minorHAnsi" w:hAnsiTheme="majorHAnsi" w:cstheme="majorHAnsi"/>
          <w:sz w:val="24"/>
          <w:szCs w:val="24"/>
          <w:lang w:val="ro-MD"/>
        </w:rPr>
        <w:t>persoană fizică (1100 euro/lunar), fiindu-i achitat</w:t>
      </w:r>
      <w:r w:rsidR="00A01E18" w:rsidRPr="00231547">
        <w:rPr>
          <w:rFonts w:asciiTheme="majorHAnsi" w:eastAsiaTheme="minorHAnsi" w:hAnsiTheme="majorHAnsi" w:cstheme="majorHAnsi"/>
          <w:sz w:val="24"/>
          <w:szCs w:val="24"/>
          <w:lang w:val="ro-MD"/>
        </w:rPr>
        <w:t>e</w:t>
      </w:r>
      <w:r w:rsidR="00DD5453" w:rsidRPr="00231547">
        <w:rPr>
          <w:rFonts w:asciiTheme="majorHAnsi" w:eastAsiaTheme="minorHAnsi" w:hAnsiTheme="majorHAnsi" w:cstheme="majorHAnsi"/>
          <w:sz w:val="24"/>
          <w:szCs w:val="24"/>
          <w:lang w:val="ro-MD"/>
        </w:rPr>
        <w:t xml:space="preserve"> 228,2 mii lei, </w:t>
      </w:r>
      <w:r w:rsidR="004F5000" w:rsidRPr="00231547">
        <w:rPr>
          <w:rFonts w:asciiTheme="majorHAnsi" w:eastAsiaTheme="minorHAnsi" w:hAnsiTheme="majorHAnsi" w:cstheme="majorHAnsi"/>
          <w:sz w:val="24"/>
          <w:szCs w:val="24"/>
          <w:lang w:val="ro-MD"/>
        </w:rPr>
        <w:t xml:space="preserve">instituțiile respective </w:t>
      </w:r>
      <w:r w:rsidR="00DD5453" w:rsidRPr="00231547">
        <w:rPr>
          <w:rFonts w:asciiTheme="majorHAnsi" w:eastAsiaTheme="minorHAnsi" w:hAnsiTheme="majorHAnsi" w:cstheme="majorHAnsi"/>
          <w:sz w:val="24"/>
          <w:szCs w:val="24"/>
          <w:lang w:val="ro-MD"/>
        </w:rPr>
        <w:t>având funcții vacante de administrator</w:t>
      </w:r>
      <w:r w:rsidR="00982E02" w:rsidRPr="00231547">
        <w:rPr>
          <w:rFonts w:asciiTheme="majorHAnsi" w:eastAsiaTheme="minorHAnsi" w:hAnsiTheme="majorHAnsi" w:cstheme="majorHAnsi"/>
          <w:sz w:val="24"/>
          <w:szCs w:val="24"/>
          <w:lang w:val="ro-MD"/>
        </w:rPr>
        <w:t>-</w:t>
      </w:r>
      <w:r w:rsidR="00DD5453" w:rsidRPr="00231547">
        <w:rPr>
          <w:rFonts w:asciiTheme="majorHAnsi" w:eastAsiaTheme="minorHAnsi" w:hAnsiTheme="majorHAnsi" w:cstheme="majorHAnsi"/>
          <w:sz w:val="24"/>
          <w:szCs w:val="24"/>
          <w:lang w:val="ro-MD"/>
        </w:rPr>
        <w:t>șofer.</w:t>
      </w:r>
    </w:p>
    <w:p w14:paraId="16035076" w14:textId="77777777" w:rsidR="008C70BD" w:rsidRPr="00231547" w:rsidRDefault="008C70BD" w:rsidP="008C70BD">
      <w:pPr>
        <w:spacing w:after="0"/>
        <w:jc w:val="both"/>
        <w:rPr>
          <w:rFonts w:asciiTheme="majorHAnsi" w:eastAsiaTheme="minorHAnsi" w:hAnsiTheme="majorHAnsi" w:cstheme="majorHAnsi"/>
          <w:sz w:val="8"/>
          <w:szCs w:val="8"/>
          <w:lang w:val="ro-MD"/>
        </w:rPr>
      </w:pPr>
    </w:p>
    <w:p w14:paraId="3B8E5C3A" w14:textId="334DE449" w:rsidR="008410FB" w:rsidRPr="00231547" w:rsidRDefault="00F93FD8" w:rsidP="008C70BD">
      <w:pPr>
        <w:pStyle w:val="ListParagraph"/>
        <w:numPr>
          <w:ilvl w:val="1"/>
          <w:numId w:val="1"/>
        </w:numPr>
        <w:spacing w:after="0"/>
        <w:ind w:left="0" w:firstLine="0"/>
        <w:jc w:val="both"/>
        <w:rPr>
          <w:rFonts w:asciiTheme="majorHAnsi" w:eastAsiaTheme="minorHAnsi" w:hAnsiTheme="majorHAnsi" w:cstheme="majorHAnsi"/>
          <w:sz w:val="24"/>
          <w:szCs w:val="24"/>
          <w:lang w:val="ro-MD"/>
        </w:rPr>
      </w:pPr>
      <w:r w:rsidRPr="00231547">
        <w:rPr>
          <w:rFonts w:asciiTheme="majorHAnsi" w:hAnsiTheme="majorHAnsi" w:cstheme="majorHAnsi"/>
          <w:sz w:val="24"/>
          <w:szCs w:val="24"/>
          <w:lang w:val="ro-MD"/>
        </w:rPr>
        <w:t>S-a</w:t>
      </w:r>
      <w:r w:rsidR="00745D4C" w:rsidRPr="00231547">
        <w:rPr>
          <w:rFonts w:asciiTheme="majorHAnsi" w:hAnsiTheme="majorHAnsi" w:cstheme="majorHAnsi"/>
          <w:sz w:val="24"/>
          <w:szCs w:val="24"/>
          <w:lang w:val="ro-MD"/>
        </w:rPr>
        <w:t>u</w:t>
      </w:r>
      <w:r w:rsidRPr="00231547">
        <w:rPr>
          <w:rFonts w:asciiTheme="majorHAnsi" w:hAnsiTheme="majorHAnsi" w:cstheme="majorHAnsi"/>
          <w:sz w:val="24"/>
          <w:szCs w:val="24"/>
          <w:lang w:val="ro-MD"/>
        </w:rPr>
        <w:t xml:space="preserve"> constatat abateri la misiunile diplomatice și oficii</w:t>
      </w:r>
      <w:r w:rsidR="004F5000" w:rsidRPr="00231547">
        <w:rPr>
          <w:rFonts w:asciiTheme="majorHAnsi" w:hAnsiTheme="majorHAnsi" w:cstheme="majorHAnsi"/>
          <w:sz w:val="24"/>
          <w:szCs w:val="24"/>
          <w:lang w:val="ro-MD"/>
        </w:rPr>
        <w:t>le</w:t>
      </w:r>
      <w:r w:rsidRPr="00231547">
        <w:rPr>
          <w:rFonts w:asciiTheme="majorHAnsi" w:hAnsiTheme="majorHAnsi" w:cstheme="majorHAnsi"/>
          <w:sz w:val="24"/>
          <w:szCs w:val="24"/>
          <w:lang w:val="ro-MD"/>
        </w:rPr>
        <w:t xml:space="preserve"> consulare privind conformitatea deplasărilor în interes de serviciu</w:t>
      </w:r>
      <w:r w:rsidR="009231B5" w:rsidRPr="00231547">
        <w:rPr>
          <w:rStyle w:val="FootnoteReference"/>
          <w:rFonts w:asciiTheme="majorHAnsi" w:hAnsiTheme="majorHAnsi" w:cstheme="majorHAnsi"/>
          <w:sz w:val="24"/>
          <w:szCs w:val="24"/>
          <w:lang w:val="ro-MD"/>
        </w:rPr>
        <w:footnoteReference w:id="11"/>
      </w:r>
      <w:r w:rsidRPr="00231547">
        <w:rPr>
          <w:rFonts w:asciiTheme="majorHAnsi" w:hAnsiTheme="majorHAnsi" w:cstheme="majorHAnsi"/>
          <w:sz w:val="24"/>
          <w:szCs w:val="24"/>
          <w:lang w:val="ro-MD"/>
        </w:rPr>
        <w:t>. Astfel, probele de audit colectate pe un eșantion</w:t>
      </w:r>
      <w:r w:rsidR="00432A02" w:rsidRPr="00231547">
        <w:rPr>
          <w:rFonts w:asciiTheme="majorHAnsi" w:hAnsiTheme="majorHAnsi" w:cstheme="majorHAnsi"/>
          <w:sz w:val="24"/>
          <w:szCs w:val="24"/>
          <w:lang w:val="ro-MD"/>
        </w:rPr>
        <w:t xml:space="preserve"> </w:t>
      </w:r>
      <w:r w:rsidR="004F5000" w:rsidRPr="00231547">
        <w:rPr>
          <w:rFonts w:asciiTheme="majorHAnsi" w:hAnsiTheme="majorHAnsi" w:cstheme="majorHAnsi"/>
          <w:sz w:val="24"/>
          <w:szCs w:val="24"/>
          <w:lang w:val="ro-MD"/>
        </w:rPr>
        <w:t xml:space="preserve">de </w:t>
      </w:r>
      <w:r w:rsidR="00432A02" w:rsidRPr="00231547">
        <w:rPr>
          <w:rFonts w:asciiTheme="majorHAnsi" w:hAnsiTheme="majorHAnsi" w:cstheme="majorHAnsi"/>
          <w:sz w:val="24"/>
          <w:szCs w:val="24"/>
          <w:lang w:val="ro-MD"/>
        </w:rPr>
        <w:t xml:space="preserve">13 </w:t>
      </w:r>
      <w:r w:rsidR="004F5000" w:rsidRPr="00231547">
        <w:rPr>
          <w:rFonts w:asciiTheme="majorHAnsi" w:hAnsiTheme="majorHAnsi" w:cstheme="majorHAnsi"/>
          <w:sz w:val="24"/>
          <w:szCs w:val="24"/>
          <w:lang w:val="ro-MD"/>
        </w:rPr>
        <w:lastRenderedPageBreak/>
        <w:t>misiuni diplomatice și oficii consulare</w:t>
      </w:r>
      <w:r w:rsidR="00432A02" w:rsidRPr="00231547">
        <w:rPr>
          <w:rFonts w:asciiTheme="majorHAnsi" w:hAnsiTheme="majorHAnsi" w:cstheme="majorHAnsi"/>
          <w:sz w:val="24"/>
          <w:szCs w:val="24"/>
          <w:lang w:val="ro-MD"/>
        </w:rPr>
        <w:t xml:space="preserve"> denotă că, în cazul a 8</w:t>
      </w:r>
      <w:r w:rsidRPr="00231547">
        <w:rPr>
          <w:rFonts w:asciiTheme="majorHAnsi" w:hAnsiTheme="majorHAnsi" w:cstheme="majorHAnsi"/>
          <w:sz w:val="24"/>
          <w:szCs w:val="24"/>
          <w:lang w:val="ro-MD"/>
        </w:rPr>
        <w:t xml:space="preserve"> </w:t>
      </w:r>
      <w:r w:rsidR="00C601C4" w:rsidRPr="00231547">
        <w:rPr>
          <w:rFonts w:asciiTheme="majorHAnsi" w:hAnsiTheme="majorHAnsi" w:cstheme="majorHAnsi"/>
          <w:sz w:val="24"/>
          <w:szCs w:val="24"/>
          <w:lang w:val="ro-MD"/>
        </w:rPr>
        <w:t>instituții</w:t>
      </w:r>
      <w:r w:rsidRPr="00231547">
        <w:rPr>
          <w:rStyle w:val="FootnoteReference"/>
          <w:rFonts w:asciiTheme="majorHAnsi" w:hAnsiTheme="majorHAnsi" w:cstheme="majorHAnsi"/>
          <w:sz w:val="24"/>
          <w:szCs w:val="24"/>
          <w:lang w:val="ro-MD"/>
        </w:rPr>
        <w:footnoteReference w:id="12"/>
      </w:r>
      <w:r w:rsidR="00982E02" w:rsidRPr="00231547">
        <w:rPr>
          <w:rFonts w:asciiTheme="majorHAnsi" w:hAnsiTheme="majorHAnsi" w:cstheme="majorHAnsi"/>
          <w:sz w:val="24"/>
          <w:szCs w:val="24"/>
          <w:lang w:val="ro-MD"/>
        </w:rPr>
        <w:t>,</w:t>
      </w:r>
      <w:r w:rsidRPr="00231547">
        <w:rPr>
          <w:rFonts w:asciiTheme="majorHAnsi" w:hAnsiTheme="majorHAnsi" w:cstheme="majorHAnsi"/>
          <w:sz w:val="24"/>
          <w:szCs w:val="24"/>
          <w:lang w:val="ro-MD"/>
        </w:rPr>
        <w:t xml:space="preserve"> nu a fost respectat scopul indicat în ordinul de deplasare. Astfel, scopul deplasării fiind transportarea poștei dip</w:t>
      </w:r>
      <w:r w:rsidR="00502F35" w:rsidRPr="00231547">
        <w:rPr>
          <w:rFonts w:asciiTheme="majorHAnsi" w:hAnsiTheme="majorHAnsi" w:cstheme="majorHAnsi"/>
          <w:sz w:val="24"/>
          <w:szCs w:val="24"/>
          <w:lang w:val="ro-MD"/>
        </w:rPr>
        <w:t>lomatice, dar</w:t>
      </w:r>
      <w:r w:rsidR="00D57D77" w:rsidRPr="00231547">
        <w:rPr>
          <w:rFonts w:asciiTheme="majorHAnsi" w:hAnsiTheme="majorHAnsi" w:cstheme="majorHAnsi"/>
          <w:sz w:val="24"/>
          <w:szCs w:val="24"/>
          <w:lang w:val="ro-MD"/>
        </w:rPr>
        <w:t>,</w:t>
      </w:r>
      <w:r w:rsidR="00502F35" w:rsidRPr="00231547">
        <w:rPr>
          <w:rFonts w:asciiTheme="majorHAnsi" w:hAnsiTheme="majorHAnsi" w:cstheme="majorHAnsi"/>
          <w:sz w:val="24"/>
          <w:szCs w:val="24"/>
          <w:lang w:val="ro-MD"/>
        </w:rPr>
        <w:t xml:space="preserve"> de facto, </w:t>
      </w:r>
      <w:r w:rsidR="00C601C4" w:rsidRPr="00231547">
        <w:rPr>
          <w:rFonts w:asciiTheme="majorHAnsi" w:hAnsiTheme="majorHAnsi" w:cstheme="majorHAnsi"/>
          <w:sz w:val="24"/>
          <w:szCs w:val="24"/>
          <w:lang w:val="ro-MD"/>
        </w:rPr>
        <w:t>au fost</w:t>
      </w:r>
      <w:r w:rsidR="00502F35" w:rsidRPr="00231547">
        <w:rPr>
          <w:rFonts w:asciiTheme="majorHAnsi" w:hAnsiTheme="majorHAnsi" w:cstheme="majorHAnsi"/>
          <w:sz w:val="24"/>
          <w:szCs w:val="24"/>
          <w:lang w:val="ro-MD"/>
        </w:rPr>
        <w:t xml:space="preserve"> </w:t>
      </w:r>
      <w:r w:rsidRPr="00231547">
        <w:rPr>
          <w:rFonts w:asciiTheme="majorHAnsi" w:hAnsiTheme="majorHAnsi" w:cstheme="majorHAnsi"/>
          <w:sz w:val="24"/>
          <w:szCs w:val="24"/>
          <w:lang w:val="ro-MD"/>
        </w:rPr>
        <w:t xml:space="preserve">transportați </w:t>
      </w:r>
      <w:r w:rsidR="00D42988" w:rsidRPr="00231547">
        <w:rPr>
          <w:rFonts w:asciiTheme="majorHAnsi" w:hAnsiTheme="majorHAnsi" w:cstheme="majorHAnsi"/>
          <w:sz w:val="24"/>
          <w:szCs w:val="24"/>
          <w:lang w:val="ro-MD"/>
        </w:rPr>
        <w:t>inclusiv angajați</w:t>
      </w:r>
      <w:r w:rsidRPr="00231547">
        <w:rPr>
          <w:rFonts w:asciiTheme="majorHAnsi" w:hAnsiTheme="majorHAnsi" w:cstheme="majorHAnsi"/>
          <w:sz w:val="24"/>
          <w:szCs w:val="24"/>
          <w:lang w:val="ro-MD"/>
        </w:rPr>
        <w:t>/</w:t>
      </w:r>
      <w:r w:rsidR="00502F35" w:rsidRPr="00231547">
        <w:rPr>
          <w:rFonts w:asciiTheme="majorHAnsi" w:hAnsiTheme="majorHAnsi" w:cstheme="majorHAnsi"/>
          <w:sz w:val="24"/>
          <w:szCs w:val="24"/>
          <w:lang w:val="ro-MD"/>
        </w:rPr>
        <w:t>membri</w:t>
      </w:r>
      <w:r w:rsidRPr="00231547">
        <w:rPr>
          <w:rFonts w:asciiTheme="majorHAnsi" w:hAnsiTheme="majorHAnsi" w:cstheme="majorHAnsi"/>
          <w:sz w:val="24"/>
          <w:szCs w:val="24"/>
          <w:lang w:val="ro-MD"/>
        </w:rPr>
        <w:t xml:space="preserve"> </w:t>
      </w:r>
      <w:r w:rsidR="00C601C4" w:rsidRPr="00231547">
        <w:rPr>
          <w:rFonts w:asciiTheme="majorHAnsi" w:hAnsiTheme="majorHAnsi" w:cstheme="majorHAnsi"/>
          <w:sz w:val="24"/>
          <w:szCs w:val="24"/>
          <w:lang w:val="ro-MD"/>
        </w:rPr>
        <w:t xml:space="preserve">ai </w:t>
      </w:r>
      <w:r w:rsidRPr="00231547">
        <w:rPr>
          <w:rFonts w:asciiTheme="majorHAnsi" w:hAnsiTheme="majorHAnsi" w:cstheme="majorHAnsi"/>
          <w:sz w:val="24"/>
          <w:szCs w:val="24"/>
          <w:lang w:val="ro-MD"/>
        </w:rPr>
        <w:t>familiilor/persoane străine, numele acestora nefiind stipulate în ordin. În trei cazuri</w:t>
      </w:r>
      <w:r w:rsidRPr="00231547">
        <w:rPr>
          <w:rStyle w:val="FootnoteReference"/>
          <w:rFonts w:asciiTheme="majorHAnsi" w:hAnsiTheme="majorHAnsi" w:cstheme="majorHAnsi"/>
          <w:sz w:val="24"/>
          <w:szCs w:val="24"/>
          <w:lang w:val="ro-MD"/>
        </w:rPr>
        <w:footnoteReference w:id="13"/>
      </w:r>
      <w:r w:rsidRPr="00231547">
        <w:rPr>
          <w:rFonts w:asciiTheme="majorHAnsi" w:hAnsiTheme="majorHAnsi" w:cstheme="majorHAnsi"/>
          <w:sz w:val="24"/>
          <w:szCs w:val="24"/>
          <w:lang w:val="ro-MD"/>
        </w:rPr>
        <w:t xml:space="preserve"> lipsesc</w:t>
      </w:r>
      <w:r w:rsidR="00B344B7" w:rsidRPr="00231547">
        <w:rPr>
          <w:rFonts w:asciiTheme="majorHAnsi" w:hAnsiTheme="majorHAnsi" w:cstheme="majorHAnsi"/>
          <w:sz w:val="24"/>
          <w:szCs w:val="24"/>
          <w:lang w:val="ro-MD"/>
        </w:rPr>
        <w:t xml:space="preserve"> ordinele de deplasare, iar în</w:t>
      </w:r>
      <w:r w:rsidR="0023546A" w:rsidRPr="00231547">
        <w:rPr>
          <w:rFonts w:asciiTheme="majorHAnsi" w:hAnsiTheme="majorHAnsi" w:cstheme="majorHAnsi"/>
          <w:sz w:val="24"/>
          <w:szCs w:val="24"/>
          <w:lang w:val="ro-MD"/>
        </w:rPr>
        <w:t xml:space="preserve"> alte</w:t>
      </w:r>
      <w:r w:rsidR="00B344B7" w:rsidRPr="00231547">
        <w:rPr>
          <w:rFonts w:asciiTheme="majorHAnsi" w:hAnsiTheme="majorHAnsi" w:cstheme="majorHAnsi"/>
          <w:sz w:val="24"/>
          <w:szCs w:val="24"/>
          <w:lang w:val="ro-MD"/>
        </w:rPr>
        <w:t xml:space="preserve"> 3</w:t>
      </w:r>
      <w:r w:rsidRPr="00231547">
        <w:rPr>
          <w:rFonts w:asciiTheme="majorHAnsi" w:hAnsiTheme="majorHAnsi" w:cstheme="majorHAnsi"/>
          <w:sz w:val="24"/>
          <w:szCs w:val="24"/>
          <w:lang w:val="ro-MD"/>
        </w:rPr>
        <w:t xml:space="preserve"> cazuri</w:t>
      </w:r>
      <w:r w:rsidRPr="00231547">
        <w:rPr>
          <w:rStyle w:val="FootnoteReference"/>
          <w:rFonts w:asciiTheme="majorHAnsi" w:hAnsiTheme="majorHAnsi" w:cstheme="majorHAnsi"/>
          <w:sz w:val="24"/>
          <w:szCs w:val="24"/>
          <w:lang w:val="ro-MD"/>
        </w:rPr>
        <w:footnoteReference w:id="14"/>
      </w:r>
      <w:r w:rsidRPr="00231547">
        <w:rPr>
          <w:rFonts w:asciiTheme="majorHAnsi" w:hAnsiTheme="majorHAnsi" w:cstheme="majorHAnsi"/>
          <w:sz w:val="24"/>
          <w:szCs w:val="24"/>
          <w:lang w:val="ro-MD"/>
        </w:rPr>
        <w:t xml:space="preserve"> au fost depășite termen</w:t>
      </w:r>
      <w:r w:rsidR="00C601C4" w:rsidRPr="00231547">
        <w:rPr>
          <w:rFonts w:asciiTheme="majorHAnsi" w:hAnsiTheme="majorHAnsi" w:cstheme="majorHAnsi"/>
          <w:sz w:val="24"/>
          <w:szCs w:val="24"/>
          <w:lang w:val="ro-MD"/>
        </w:rPr>
        <w:t>ele</w:t>
      </w:r>
      <w:r w:rsidRPr="00231547">
        <w:rPr>
          <w:rFonts w:asciiTheme="majorHAnsi" w:hAnsiTheme="majorHAnsi" w:cstheme="majorHAnsi"/>
          <w:sz w:val="24"/>
          <w:szCs w:val="24"/>
          <w:lang w:val="ro-MD"/>
        </w:rPr>
        <w:t xml:space="preserve"> de ședere indicat</w:t>
      </w:r>
      <w:r w:rsidR="00C601C4" w:rsidRPr="00231547">
        <w:rPr>
          <w:rFonts w:asciiTheme="majorHAnsi" w:hAnsiTheme="majorHAnsi" w:cstheme="majorHAnsi"/>
          <w:sz w:val="24"/>
          <w:szCs w:val="24"/>
          <w:lang w:val="ro-MD"/>
        </w:rPr>
        <w:t>e</w:t>
      </w:r>
      <w:r w:rsidRPr="00231547">
        <w:rPr>
          <w:rFonts w:asciiTheme="majorHAnsi" w:hAnsiTheme="majorHAnsi" w:cstheme="majorHAnsi"/>
          <w:sz w:val="24"/>
          <w:szCs w:val="24"/>
          <w:lang w:val="ro-MD"/>
        </w:rPr>
        <w:t xml:space="preserve"> în ordin</w:t>
      </w:r>
      <w:r w:rsidR="00C601C4" w:rsidRPr="00231547">
        <w:rPr>
          <w:rFonts w:asciiTheme="majorHAnsi" w:hAnsiTheme="majorHAnsi" w:cstheme="majorHAnsi"/>
          <w:sz w:val="24"/>
          <w:szCs w:val="24"/>
          <w:lang w:val="ro-MD"/>
        </w:rPr>
        <w:t>e</w:t>
      </w:r>
      <w:r w:rsidRPr="00231547">
        <w:rPr>
          <w:rFonts w:asciiTheme="majorHAnsi" w:hAnsiTheme="majorHAnsi" w:cstheme="majorHAnsi"/>
          <w:sz w:val="24"/>
          <w:szCs w:val="24"/>
          <w:lang w:val="ro-MD"/>
        </w:rPr>
        <w:t>.</w:t>
      </w:r>
    </w:p>
    <w:p w14:paraId="500466F4" w14:textId="09A9EBA9" w:rsidR="00C601C4" w:rsidRPr="00231547" w:rsidRDefault="00C601C4" w:rsidP="002154D7">
      <w:pPr>
        <w:pStyle w:val="ListParagraph"/>
        <w:ind w:left="0"/>
        <w:jc w:val="both"/>
        <w:rPr>
          <w:rFonts w:asciiTheme="majorHAnsi" w:hAnsiTheme="majorHAnsi" w:cstheme="majorHAnsi"/>
          <w:sz w:val="8"/>
          <w:szCs w:val="8"/>
          <w:lang w:val="ro-MD"/>
        </w:rPr>
      </w:pPr>
    </w:p>
    <w:p w14:paraId="56C2747B" w14:textId="77777777" w:rsidR="001808E7" w:rsidRPr="00231547" w:rsidRDefault="001808E7" w:rsidP="002154D7">
      <w:pPr>
        <w:pStyle w:val="ListParagraph"/>
        <w:ind w:left="0"/>
        <w:jc w:val="both"/>
        <w:rPr>
          <w:rFonts w:asciiTheme="majorHAnsi" w:hAnsiTheme="majorHAnsi" w:cstheme="majorHAnsi"/>
          <w:sz w:val="8"/>
          <w:szCs w:val="8"/>
          <w:lang w:val="ro-MD"/>
        </w:rPr>
      </w:pPr>
    </w:p>
    <w:p w14:paraId="63CBC96B" w14:textId="21A881E0" w:rsidR="00C601C4" w:rsidRPr="00231547" w:rsidRDefault="008410FB" w:rsidP="00B12D2F">
      <w:pPr>
        <w:pStyle w:val="ListParagraph"/>
        <w:ind w:left="0"/>
        <w:jc w:val="both"/>
        <w:rPr>
          <w:rFonts w:asciiTheme="majorHAnsi" w:hAnsiTheme="majorHAnsi" w:cstheme="majorHAnsi"/>
          <w:sz w:val="24"/>
          <w:szCs w:val="24"/>
          <w:lang w:val="ro-MD"/>
        </w:rPr>
      </w:pPr>
      <w:r w:rsidRPr="00231547">
        <w:rPr>
          <w:rFonts w:asciiTheme="majorHAnsi" w:hAnsiTheme="majorHAnsi" w:cstheme="majorHAnsi"/>
          <w:sz w:val="24"/>
          <w:szCs w:val="24"/>
          <w:lang w:val="ro-MD"/>
        </w:rPr>
        <w:t>Echipa de audit a examinat posibile</w:t>
      </w:r>
      <w:r w:rsidR="00C601C4" w:rsidRPr="00231547">
        <w:rPr>
          <w:rFonts w:asciiTheme="majorHAnsi" w:hAnsiTheme="majorHAnsi" w:cstheme="majorHAnsi"/>
          <w:sz w:val="24"/>
          <w:szCs w:val="24"/>
          <w:lang w:val="ro-MD"/>
        </w:rPr>
        <w:t>le</w:t>
      </w:r>
      <w:r w:rsidRPr="00231547">
        <w:rPr>
          <w:rFonts w:asciiTheme="majorHAnsi" w:hAnsiTheme="majorHAnsi" w:cstheme="majorHAnsi"/>
          <w:sz w:val="24"/>
          <w:szCs w:val="24"/>
          <w:lang w:val="ro-MD"/>
        </w:rPr>
        <w:t xml:space="preserve"> abateri ce țin de cheltuieli</w:t>
      </w:r>
      <w:r w:rsidR="00C601C4" w:rsidRPr="00231547">
        <w:rPr>
          <w:rFonts w:asciiTheme="majorHAnsi" w:hAnsiTheme="majorHAnsi" w:cstheme="majorHAnsi"/>
          <w:sz w:val="24"/>
          <w:szCs w:val="24"/>
          <w:lang w:val="ro-MD"/>
        </w:rPr>
        <w:t>le</w:t>
      </w:r>
      <w:r w:rsidRPr="00231547">
        <w:rPr>
          <w:rFonts w:asciiTheme="majorHAnsi" w:hAnsiTheme="majorHAnsi" w:cstheme="majorHAnsi"/>
          <w:sz w:val="24"/>
          <w:szCs w:val="24"/>
          <w:lang w:val="ro-MD"/>
        </w:rPr>
        <w:t xml:space="preserve"> de deplasare și utilizare</w:t>
      </w:r>
      <w:r w:rsidR="00D57D77" w:rsidRPr="00231547">
        <w:rPr>
          <w:rFonts w:asciiTheme="majorHAnsi" w:hAnsiTheme="majorHAnsi" w:cstheme="majorHAnsi"/>
          <w:sz w:val="24"/>
          <w:szCs w:val="24"/>
          <w:lang w:val="ro-MD"/>
        </w:rPr>
        <w:t xml:space="preserve"> </w:t>
      </w:r>
      <w:r w:rsidRPr="00231547">
        <w:rPr>
          <w:rFonts w:asciiTheme="majorHAnsi" w:hAnsiTheme="majorHAnsi" w:cstheme="majorHAnsi"/>
          <w:sz w:val="24"/>
          <w:szCs w:val="24"/>
          <w:lang w:val="ro-MD"/>
        </w:rPr>
        <w:t>a mijloacelor de transport. Astfel, Ambasada Republicii Moldova în Federația Rusă</w:t>
      </w:r>
      <w:r w:rsidR="00C601C4" w:rsidRPr="00231547">
        <w:rPr>
          <w:rFonts w:asciiTheme="majorHAnsi" w:hAnsiTheme="majorHAnsi" w:cstheme="majorHAnsi"/>
          <w:sz w:val="24"/>
          <w:szCs w:val="24"/>
          <w:lang w:val="ro-MD"/>
        </w:rPr>
        <w:t>,</w:t>
      </w:r>
      <w:r w:rsidRPr="00231547">
        <w:rPr>
          <w:rFonts w:asciiTheme="majorHAnsi" w:hAnsiTheme="majorHAnsi" w:cstheme="majorHAnsi"/>
          <w:sz w:val="24"/>
          <w:szCs w:val="24"/>
          <w:lang w:val="ro-MD"/>
        </w:rPr>
        <w:t xml:space="preserve"> la grupa de conturi 331 „Procurarea combustibilului, carburanților și lubrifianților”</w:t>
      </w:r>
      <w:r w:rsidR="00C601C4" w:rsidRPr="00231547">
        <w:rPr>
          <w:rFonts w:asciiTheme="majorHAnsi" w:hAnsiTheme="majorHAnsi" w:cstheme="majorHAnsi"/>
          <w:sz w:val="24"/>
          <w:szCs w:val="24"/>
          <w:lang w:val="ro-MD"/>
        </w:rPr>
        <w:t>,</w:t>
      </w:r>
      <w:r w:rsidRPr="00231547">
        <w:rPr>
          <w:rFonts w:asciiTheme="majorHAnsi" w:hAnsiTheme="majorHAnsi" w:cstheme="majorHAnsi"/>
          <w:sz w:val="24"/>
          <w:szCs w:val="24"/>
          <w:lang w:val="ro-MD"/>
        </w:rPr>
        <w:t xml:space="preserve"> se evidențiază cu cheltuieli în sumă totală de 217,4 mii lei, care depășe</w:t>
      </w:r>
      <w:r w:rsidR="00C601C4" w:rsidRPr="00231547">
        <w:rPr>
          <w:rFonts w:asciiTheme="majorHAnsi" w:hAnsiTheme="majorHAnsi" w:cstheme="majorHAnsi"/>
          <w:sz w:val="24"/>
          <w:szCs w:val="24"/>
          <w:lang w:val="ro-MD"/>
        </w:rPr>
        <w:t>sc</w:t>
      </w:r>
      <w:r w:rsidRPr="00231547">
        <w:rPr>
          <w:rFonts w:asciiTheme="majorHAnsi" w:hAnsiTheme="majorHAnsi" w:cstheme="majorHAnsi"/>
          <w:sz w:val="24"/>
          <w:szCs w:val="24"/>
          <w:lang w:val="ro-MD"/>
        </w:rPr>
        <w:t xml:space="preserve"> de 5 ori media cheltuielilor pentru combustibilul utilizat de către celelalte misiuni. Probele de audit denotă că aceasta rezultă din deplasările de serviciu în Republica Moldova ale microbuzului </w:t>
      </w:r>
      <w:proofErr w:type="spellStart"/>
      <w:r w:rsidRPr="00231547">
        <w:rPr>
          <w:rFonts w:asciiTheme="majorHAnsi" w:hAnsiTheme="majorHAnsi" w:cstheme="majorHAnsi"/>
          <w:sz w:val="24"/>
          <w:szCs w:val="24"/>
          <w:lang w:val="ro-MD"/>
        </w:rPr>
        <w:t>lveco</w:t>
      </w:r>
      <w:proofErr w:type="spellEnd"/>
      <w:r w:rsidRPr="00231547">
        <w:rPr>
          <w:rFonts w:asciiTheme="majorHAnsi" w:hAnsiTheme="majorHAnsi" w:cstheme="majorHAnsi"/>
          <w:sz w:val="24"/>
          <w:szCs w:val="24"/>
          <w:lang w:val="ro-MD"/>
        </w:rPr>
        <w:t xml:space="preserve"> </w:t>
      </w:r>
      <w:proofErr w:type="spellStart"/>
      <w:r w:rsidRPr="00231547">
        <w:rPr>
          <w:rFonts w:asciiTheme="majorHAnsi" w:hAnsiTheme="majorHAnsi" w:cstheme="majorHAnsi"/>
          <w:sz w:val="24"/>
          <w:szCs w:val="24"/>
          <w:lang w:val="ro-MD"/>
        </w:rPr>
        <w:t>Daily</w:t>
      </w:r>
      <w:proofErr w:type="spellEnd"/>
      <w:r w:rsidRPr="00231547">
        <w:rPr>
          <w:rFonts w:asciiTheme="majorHAnsi" w:hAnsiTheme="majorHAnsi" w:cstheme="majorHAnsi"/>
          <w:sz w:val="24"/>
          <w:szCs w:val="24"/>
          <w:lang w:val="ro-MD"/>
        </w:rPr>
        <w:t xml:space="preserve"> 50C15 al Ambasadei Republicii Moldova în Federația Rusă. Astfel, în anul 2020 au fost efectuate 18 deplasări de serviciu, din documentele prezentate auditului, scopul deplasărilor fiind transportarea poștei diplomatice sau articol</w:t>
      </w:r>
      <w:r w:rsidR="002B1088" w:rsidRPr="00231547">
        <w:rPr>
          <w:rFonts w:asciiTheme="majorHAnsi" w:hAnsiTheme="majorHAnsi" w:cstheme="majorHAnsi"/>
          <w:sz w:val="24"/>
          <w:szCs w:val="24"/>
          <w:lang w:val="ro-MD"/>
        </w:rPr>
        <w:t>elor protocolare. Toate</w:t>
      </w:r>
      <w:r w:rsidRPr="00231547">
        <w:rPr>
          <w:rFonts w:asciiTheme="majorHAnsi" w:hAnsiTheme="majorHAnsi" w:cstheme="majorHAnsi"/>
          <w:sz w:val="24"/>
          <w:szCs w:val="24"/>
          <w:lang w:val="ro-MD"/>
        </w:rPr>
        <w:t xml:space="preserve"> deplasări</w:t>
      </w:r>
      <w:r w:rsidR="002B1088" w:rsidRPr="00231547">
        <w:rPr>
          <w:rFonts w:asciiTheme="majorHAnsi" w:hAnsiTheme="majorHAnsi" w:cstheme="majorHAnsi"/>
          <w:sz w:val="24"/>
          <w:szCs w:val="24"/>
          <w:lang w:val="ro-MD"/>
        </w:rPr>
        <w:t>le,</w:t>
      </w:r>
      <w:r w:rsidRPr="00231547">
        <w:rPr>
          <w:rFonts w:asciiTheme="majorHAnsi" w:hAnsiTheme="majorHAnsi" w:cstheme="majorHAnsi"/>
          <w:sz w:val="24"/>
          <w:szCs w:val="24"/>
          <w:lang w:val="ro-MD"/>
        </w:rPr>
        <w:t xml:space="preserve"> la solicitarea misiunii diplomatice</w:t>
      </w:r>
      <w:r w:rsidR="002B1088" w:rsidRPr="00231547">
        <w:rPr>
          <w:rFonts w:asciiTheme="majorHAnsi" w:hAnsiTheme="majorHAnsi" w:cstheme="majorHAnsi"/>
          <w:sz w:val="24"/>
          <w:szCs w:val="24"/>
          <w:lang w:val="ro-MD"/>
        </w:rPr>
        <w:t>,</w:t>
      </w:r>
      <w:r w:rsidRPr="00231547">
        <w:rPr>
          <w:rFonts w:asciiTheme="majorHAnsi" w:hAnsiTheme="majorHAnsi" w:cstheme="majorHAnsi"/>
          <w:sz w:val="24"/>
          <w:szCs w:val="24"/>
          <w:lang w:val="ro-MD"/>
        </w:rPr>
        <w:t xml:space="preserve"> au fost autorizate de Ministerul Afacerilor Externe și Integrării Europene. Probele de audit denotă că, în total, autoturismul a parcurs 62145 km  (circa 11931 litri combustibil/161,9 mii lei), deși distanța Moscova-Chișinău este de 1500 km. Astfel, se constată o deviere de circa 5095 km,</w:t>
      </w:r>
      <w:r w:rsidR="00C601C4" w:rsidRPr="00231547">
        <w:rPr>
          <w:rFonts w:asciiTheme="majorHAnsi" w:hAnsiTheme="majorHAnsi" w:cstheme="majorHAnsi"/>
          <w:sz w:val="24"/>
          <w:szCs w:val="24"/>
          <w:lang w:val="ro-MD"/>
        </w:rPr>
        <w:t xml:space="preserve"> ceea</w:t>
      </w:r>
      <w:r w:rsidRPr="00231547">
        <w:rPr>
          <w:rFonts w:asciiTheme="majorHAnsi" w:hAnsiTheme="majorHAnsi" w:cstheme="majorHAnsi"/>
          <w:sz w:val="24"/>
          <w:szCs w:val="24"/>
          <w:lang w:val="ro-MD"/>
        </w:rPr>
        <w:t xml:space="preserve"> ce </w:t>
      </w:r>
      <w:r w:rsidR="00C601C4" w:rsidRPr="00231547">
        <w:rPr>
          <w:rFonts w:asciiTheme="majorHAnsi" w:hAnsiTheme="majorHAnsi" w:cstheme="majorHAnsi"/>
          <w:sz w:val="24"/>
          <w:szCs w:val="24"/>
          <w:lang w:val="ro-MD"/>
        </w:rPr>
        <w:t>generează</w:t>
      </w:r>
      <w:r w:rsidRPr="00231547">
        <w:rPr>
          <w:rFonts w:asciiTheme="majorHAnsi" w:hAnsiTheme="majorHAnsi" w:cstheme="majorHAnsi"/>
          <w:sz w:val="24"/>
          <w:szCs w:val="24"/>
          <w:lang w:val="ro-MD"/>
        </w:rPr>
        <w:t xml:space="preserve"> un supraconsum de 978 litri combustibil și utilizare</w:t>
      </w:r>
      <w:r w:rsidR="00C601C4" w:rsidRPr="00231547">
        <w:rPr>
          <w:rFonts w:asciiTheme="majorHAnsi" w:hAnsiTheme="majorHAnsi" w:cstheme="majorHAnsi"/>
          <w:sz w:val="24"/>
          <w:szCs w:val="24"/>
          <w:lang w:val="ro-MD"/>
        </w:rPr>
        <w:t>a</w:t>
      </w:r>
      <w:r w:rsidRPr="00231547">
        <w:rPr>
          <w:rFonts w:asciiTheme="majorHAnsi" w:hAnsiTheme="majorHAnsi" w:cstheme="majorHAnsi"/>
          <w:sz w:val="24"/>
          <w:szCs w:val="24"/>
          <w:lang w:val="ro-MD"/>
        </w:rPr>
        <w:t xml:space="preserve"> neregulamentară a 13,2 mii lei. </w:t>
      </w:r>
    </w:p>
    <w:p w14:paraId="6720ECAE" w14:textId="2555E8FB" w:rsidR="008410FB" w:rsidRPr="00231547" w:rsidRDefault="008410FB" w:rsidP="00B12D2F">
      <w:pPr>
        <w:pStyle w:val="ListParagraph"/>
        <w:ind w:left="0"/>
        <w:jc w:val="both"/>
        <w:rPr>
          <w:rFonts w:asciiTheme="majorHAnsi" w:hAnsiTheme="majorHAnsi" w:cstheme="majorHAnsi"/>
          <w:sz w:val="24"/>
          <w:szCs w:val="24"/>
          <w:lang w:val="ro-MD"/>
        </w:rPr>
      </w:pPr>
      <w:r w:rsidRPr="00231547">
        <w:rPr>
          <w:rFonts w:asciiTheme="majorHAnsi" w:hAnsiTheme="majorHAnsi" w:cstheme="majorHAnsi"/>
          <w:sz w:val="24"/>
          <w:szCs w:val="24"/>
          <w:lang w:val="ro-MD"/>
        </w:rPr>
        <w:t xml:space="preserve">Suplimentar, probele de audit </w:t>
      </w:r>
      <w:r w:rsidR="002E22A3" w:rsidRPr="00231547">
        <w:rPr>
          <w:rFonts w:asciiTheme="majorHAnsi" w:hAnsiTheme="majorHAnsi" w:cstheme="majorHAnsi"/>
          <w:sz w:val="24"/>
          <w:szCs w:val="24"/>
          <w:lang w:val="ro-MD"/>
        </w:rPr>
        <w:t xml:space="preserve">relevă </w:t>
      </w:r>
      <w:r w:rsidRPr="00231547">
        <w:rPr>
          <w:rFonts w:asciiTheme="majorHAnsi" w:hAnsiTheme="majorHAnsi" w:cstheme="majorHAnsi"/>
          <w:sz w:val="24"/>
          <w:szCs w:val="24"/>
          <w:lang w:val="ro-MD"/>
        </w:rPr>
        <w:t xml:space="preserve">că șoferii microbuzului (3 persoane) au fost angajați în calitate de muncitori/șoferi în baza contractelor de prestări servicii cu persoane fizice în cadrul Casei de </w:t>
      </w:r>
      <w:r w:rsidR="002E22A3" w:rsidRPr="00231547">
        <w:rPr>
          <w:rFonts w:asciiTheme="majorHAnsi" w:hAnsiTheme="majorHAnsi" w:cstheme="majorHAnsi"/>
          <w:sz w:val="24"/>
          <w:szCs w:val="24"/>
          <w:lang w:val="ro-MD"/>
        </w:rPr>
        <w:t>o</w:t>
      </w:r>
      <w:r w:rsidRPr="00231547">
        <w:rPr>
          <w:rFonts w:asciiTheme="majorHAnsi" w:hAnsiTheme="majorHAnsi" w:cstheme="majorHAnsi"/>
          <w:sz w:val="24"/>
          <w:szCs w:val="24"/>
          <w:lang w:val="ro-MD"/>
        </w:rPr>
        <w:t xml:space="preserve">aspeți a </w:t>
      </w:r>
      <w:r w:rsidR="002E22A3" w:rsidRPr="00231547">
        <w:rPr>
          <w:rFonts w:asciiTheme="majorHAnsi" w:hAnsiTheme="majorHAnsi" w:cstheme="majorHAnsi"/>
          <w:sz w:val="24"/>
          <w:szCs w:val="24"/>
          <w:lang w:val="ro-MD"/>
        </w:rPr>
        <w:t>A</w:t>
      </w:r>
      <w:r w:rsidRPr="00231547">
        <w:rPr>
          <w:rFonts w:asciiTheme="majorHAnsi" w:hAnsiTheme="majorHAnsi" w:cstheme="majorHAnsi"/>
          <w:sz w:val="24"/>
          <w:szCs w:val="24"/>
          <w:lang w:val="ro-MD"/>
        </w:rPr>
        <w:t>mbasadei</w:t>
      </w:r>
      <w:r w:rsidR="002E22A3" w:rsidRPr="00231547">
        <w:rPr>
          <w:rFonts w:asciiTheme="majorHAnsi" w:hAnsiTheme="majorHAnsi" w:cstheme="majorHAnsi"/>
          <w:sz w:val="24"/>
          <w:szCs w:val="24"/>
          <w:lang w:val="ro-MD"/>
        </w:rPr>
        <w:t>,</w:t>
      </w:r>
      <w:r w:rsidRPr="00231547">
        <w:rPr>
          <w:rFonts w:asciiTheme="majorHAnsi" w:hAnsiTheme="majorHAnsi" w:cstheme="majorHAnsi"/>
          <w:sz w:val="24"/>
          <w:szCs w:val="24"/>
          <w:lang w:val="ro-MD"/>
        </w:rPr>
        <w:t xml:space="preserve"> cu </w:t>
      </w:r>
      <w:r w:rsidR="002E22A3" w:rsidRPr="00231547">
        <w:rPr>
          <w:rFonts w:asciiTheme="majorHAnsi" w:hAnsiTheme="majorHAnsi" w:cstheme="majorHAnsi"/>
          <w:sz w:val="24"/>
          <w:szCs w:val="24"/>
          <w:lang w:val="ro-MD"/>
        </w:rPr>
        <w:t xml:space="preserve">un </w:t>
      </w:r>
      <w:r w:rsidRPr="00231547">
        <w:rPr>
          <w:rFonts w:asciiTheme="majorHAnsi" w:hAnsiTheme="majorHAnsi" w:cstheme="majorHAnsi"/>
          <w:sz w:val="24"/>
          <w:szCs w:val="24"/>
          <w:lang w:val="ro-MD"/>
        </w:rPr>
        <w:t>salariu de 1200 euro. Astfel, aceștia au obținut salarii de 132,6 mii lei, 147,9 mii lei și</w:t>
      </w:r>
      <w:r w:rsidR="002E22A3" w:rsidRPr="00231547">
        <w:rPr>
          <w:rFonts w:asciiTheme="majorHAnsi" w:hAnsiTheme="majorHAnsi" w:cstheme="majorHAnsi"/>
          <w:sz w:val="24"/>
          <w:szCs w:val="24"/>
          <w:lang w:val="ro-MD"/>
        </w:rPr>
        <w:t>,</w:t>
      </w:r>
      <w:r w:rsidRPr="00231547">
        <w:rPr>
          <w:rFonts w:asciiTheme="majorHAnsi" w:hAnsiTheme="majorHAnsi" w:cstheme="majorHAnsi"/>
          <w:sz w:val="24"/>
          <w:szCs w:val="24"/>
          <w:lang w:val="ro-MD"/>
        </w:rPr>
        <w:t xml:space="preserve"> respectiv</w:t>
      </w:r>
      <w:r w:rsidR="002E22A3" w:rsidRPr="00231547">
        <w:rPr>
          <w:rFonts w:asciiTheme="majorHAnsi" w:hAnsiTheme="majorHAnsi" w:cstheme="majorHAnsi"/>
          <w:sz w:val="24"/>
          <w:szCs w:val="24"/>
          <w:lang w:val="ro-MD"/>
        </w:rPr>
        <w:t>,</w:t>
      </w:r>
      <w:r w:rsidRPr="00231547">
        <w:rPr>
          <w:rFonts w:asciiTheme="majorHAnsi" w:hAnsiTheme="majorHAnsi" w:cstheme="majorHAnsi"/>
          <w:sz w:val="24"/>
          <w:szCs w:val="24"/>
          <w:lang w:val="ro-MD"/>
        </w:rPr>
        <w:t xml:space="preserve"> 201,6 mii lei. Ulterior, unul din</w:t>
      </w:r>
      <w:r w:rsidR="002E22A3" w:rsidRPr="00231547">
        <w:rPr>
          <w:rFonts w:asciiTheme="majorHAnsi" w:hAnsiTheme="majorHAnsi" w:cstheme="majorHAnsi"/>
          <w:sz w:val="24"/>
          <w:szCs w:val="24"/>
          <w:lang w:val="ro-MD"/>
        </w:rPr>
        <w:t>tre</w:t>
      </w:r>
      <w:r w:rsidRPr="00231547">
        <w:rPr>
          <w:rFonts w:asciiTheme="majorHAnsi" w:hAnsiTheme="majorHAnsi" w:cstheme="majorHAnsi"/>
          <w:sz w:val="24"/>
          <w:szCs w:val="24"/>
          <w:lang w:val="ro-MD"/>
        </w:rPr>
        <w:t xml:space="preserve"> aceștia a fost angajat în calitate de șofer al Ambasadei cu drepturi depline. Totodată, se constată că, pentru deservirea acestui mijloc de transport, pentru rutele efectuate au fost achitate reparații curente în sumă totală de 104,4 mii lei.</w:t>
      </w:r>
    </w:p>
    <w:p w14:paraId="17A33BB8" w14:textId="65F14852" w:rsidR="00BC7CBC" w:rsidRPr="00231547" w:rsidRDefault="00F93FD8" w:rsidP="00B12D2F">
      <w:pPr>
        <w:jc w:val="both"/>
        <w:rPr>
          <w:rFonts w:asciiTheme="majorHAnsi" w:hAnsiTheme="majorHAnsi" w:cstheme="majorHAnsi"/>
          <w:sz w:val="24"/>
          <w:szCs w:val="24"/>
          <w:lang w:val="ro-MD"/>
        </w:rPr>
      </w:pPr>
      <w:r w:rsidRPr="00231547">
        <w:rPr>
          <w:rFonts w:asciiTheme="majorHAnsi" w:hAnsiTheme="majorHAnsi" w:cstheme="majorHAnsi"/>
          <w:sz w:val="24"/>
          <w:szCs w:val="24"/>
          <w:lang w:val="ro-MD"/>
        </w:rPr>
        <w:t xml:space="preserve">Probele de audit acumulate </w:t>
      </w:r>
      <w:r w:rsidR="00347C09" w:rsidRPr="00231547">
        <w:rPr>
          <w:rFonts w:asciiTheme="majorHAnsi" w:hAnsiTheme="majorHAnsi" w:cstheme="majorHAnsi"/>
          <w:sz w:val="24"/>
          <w:szCs w:val="24"/>
          <w:lang w:val="ro-MD"/>
        </w:rPr>
        <w:t>denotă</w:t>
      </w:r>
      <w:r w:rsidRPr="00231547">
        <w:rPr>
          <w:rFonts w:asciiTheme="majorHAnsi" w:hAnsiTheme="majorHAnsi" w:cstheme="majorHAnsi"/>
          <w:sz w:val="24"/>
          <w:szCs w:val="24"/>
          <w:lang w:val="ro-MD"/>
        </w:rPr>
        <w:t xml:space="preserve"> probleme </w:t>
      </w:r>
      <w:r w:rsidR="00347C09" w:rsidRPr="00231547">
        <w:rPr>
          <w:rFonts w:asciiTheme="majorHAnsi" w:hAnsiTheme="majorHAnsi" w:cstheme="majorHAnsi"/>
          <w:sz w:val="24"/>
          <w:szCs w:val="24"/>
          <w:lang w:val="ro-MD"/>
        </w:rPr>
        <w:t xml:space="preserve">și </w:t>
      </w:r>
      <w:r w:rsidRPr="00231547">
        <w:rPr>
          <w:rFonts w:asciiTheme="majorHAnsi" w:hAnsiTheme="majorHAnsi" w:cstheme="majorHAnsi"/>
          <w:sz w:val="24"/>
          <w:szCs w:val="24"/>
          <w:lang w:val="ro-MD"/>
        </w:rPr>
        <w:t>la capitolul plata indemnizației. Astfel, tabelul de pontaj pentru calcularea indemnizației detașaților în misiuni diplomatice și oficii consulare</w:t>
      </w:r>
      <w:r w:rsidR="0077028F" w:rsidRPr="00231547">
        <w:rPr>
          <w:rFonts w:asciiTheme="majorHAnsi" w:hAnsiTheme="majorHAnsi" w:cstheme="majorHAnsi"/>
          <w:sz w:val="24"/>
          <w:szCs w:val="24"/>
          <w:lang w:val="ro-MD"/>
        </w:rPr>
        <w:t>, inclusiv</w:t>
      </w:r>
      <w:r w:rsidRPr="00231547">
        <w:rPr>
          <w:rFonts w:asciiTheme="majorHAnsi" w:hAnsiTheme="majorHAnsi" w:cstheme="majorHAnsi"/>
          <w:sz w:val="24"/>
          <w:szCs w:val="24"/>
          <w:lang w:val="ro-MD"/>
        </w:rPr>
        <w:t xml:space="preserve"> membrilor familiilor lor, indică </w:t>
      </w:r>
      <w:r w:rsidR="00CB5A52" w:rsidRPr="00231547">
        <w:rPr>
          <w:rFonts w:asciiTheme="majorHAnsi" w:hAnsiTheme="majorHAnsi" w:cstheme="majorHAnsi"/>
          <w:sz w:val="24"/>
          <w:szCs w:val="24"/>
          <w:lang w:val="ro-MD"/>
        </w:rPr>
        <w:t xml:space="preserve">prezența colaboratorilor și membrilor familiilor acestora, de </w:t>
      </w:r>
      <w:r w:rsidRPr="00231547">
        <w:rPr>
          <w:rFonts w:asciiTheme="majorHAnsi" w:hAnsiTheme="majorHAnsi" w:cstheme="majorHAnsi"/>
          <w:sz w:val="24"/>
          <w:szCs w:val="24"/>
          <w:lang w:val="ro-MD"/>
        </w:rPr>
        <w:t>fapt</w:t>
      </w:r>
      <w:r w:rsidR="00CB5A52" w:rsidRPr="00231547">
        <w:rPr>
          <w:rFonts w:asciiTheme="majorHAnsi" w:hAnsiTheme="majorHAnsi" w:cstheme="majorHAnsi"/>
          <w:sz w:val="24"/>
          <w:szCs w:val="24"/>
          <w:lang w:val="ro-MD"/>
        </w:rPr>
        <w:t>ul aceste persoane fiind</w:t>
      </w:r>
      <w:r w:rsidRPr="00231547">
        <w:rPr>
          <w:rFonts w:asciiTheme="majorHAnsi" w:hAnsiTheme="majorHAnsi" w:cstheme="majorHAnsi"/>
          <w:sz w:val="24"/>
          <w:szCs w:val="24"/>
          <w:lang w:val="ro-MD"/>
        </w:rPr>
        <w:t xml:space="preserve"> în deplasare peste hotare. Astfel, pe un eșantion de 13 instituții </w:t>
      </w:r>
      <w:r w:rsidR="006E5CF7" w:rsidRPr="00231547">
        <w:rPr>
          <w:rFonts w:asciiTheme="majorHAnsi" w:hAnsiTheme="majorHAnsi" w:cstheme="majorHAnsi"/>
          <w:sz w:val="24"/>
          <w:szCs w:val="24"/>
          <w:lang w:val="ro-MD"/>
        </w:rPr>
        <w:t>ale serviciului diplomatic, la 3</w:t>
      </w:r>
      <w:r w:rsidRPr="00231547">
        <w:rPr>
          <w:rFonts w:asciiTheme="majorHAnsi" w:hAnsiTheme="majorHAnsi" w:cstheme="majorHAnsi"/>
          <w:sz w:val="24"/>
          <w:szCs w:val="24"/>
          <w:vertAlign w:val="superscript"/>
          <w:lang w:val="ro-MD"/>
        </w:rPr>
        <w:footnoteReference w:id="15"/>
      </w:r>
      <w:r w:rsidRPr="00231547">
        <w:rPr>
          <w:rFonts w:asciiTheme="majorHAnsi" w:hAnsiTheme="majorHAnsi" w:cstheme="majorHAnsi"/>
          <w:sz w:val="24"/>
          <w:szCs w:val="24"/>
          <w:lang w:val="ro-MD"/>
        </w:rPr>
        <w:t xml:space="preserve"> au fost stabilite neconformit</w:t>
      </w:r>
      <w:r w:rsidR="006E5CF7" w:rsidRPr="00231547">
        <w:rPr>
          <w:rFonts w:asciiTheme="majorHAnsi" w:hAnsiTheme="majorHAnsi" w:cstheme="majorHAnsi"/>
          <w:sz w:val="24"/>
          <w:szCs w:val="24"/>
          <w:lang w:val="ro-MD"/>
        </w:rPr>
        <w:t>ăți la 9</w:t>
      </w:r>
      <w:r w:rsidR="006B1B80" w:rsidRPr="00231547">
        <w:rPr>
          <w:rFonts w:asciiTheme="majorHAnsi" w:hAnsiTheme="majorHAnsi" w:cstheme="majorHAnsi"/>
          <w:sz w:val="24"/>
          <w:szCs w:val="24"/>
          <w:lang w:val="ro-MD"/>
        </w:rPr>
        <w:t xml:space="preserve"> deplasări de serviciu</w:t>
      </w:r>
      <w:r w:rsidR="00761DC3" w:rsidRPr="00231547">
        <w:rPr>
          <w:rFonts w:asciiTheme="majorHAnsi" w:hAnsiTheme="majorHAnsi" w:cstheme="majorHAnsi"/>
          <w:sz w:val="24"/>
          <w:szCs w:val="24"/>
          <w:lang w:val="ro-MD"/>
        </w:rPr>
        <w:t>.</w:t>
      </w:r>
    </w:p>
    <w:p w14:paraId="167BE476" w14:textId="2FD7EE7E" w:rsidR="00D42988" w:rsidRPr="00231547" w:rsidRDefault="00BC7CBC" w:rsidP="00D42988">
      <w:pPr>
        <w:jc w:val="both"/>
        <w:rPr>
          <w:rFonts w:asciiTheme="majorHAnsi" w:hAnsiTheme="majorHAnsi" w:cstheme="majorHAnsi"/>
          <w:sz w:val="24"/>
          <w:szCs w:val="24"/>
          <w:lang w:val="ro-MD"/>
        </w:rPr>
      </w:pPr>
      <w:r w:rsidRPr="00231547">
        <w:rPr>
          <w:rFonts w:asciiTheme="majorHAnsi" w:hAnsiTheme="majorHAnsi" w:cstheme="majorHAnsi"/>
          <w:sz w:val="24"/>
          <w:szCs w:val="24"/>
          <w:lang w:val="ro-MD"/>
        </w:rPr>
        <w:t>Auditul menționează lipsa unor reglementări exhaustive privind utilizarea mijloacelor de tr</w:t>
      </w:r>
      <w:r w:rsidR="00A177F1" w:rsidRPr="00231547">
        <w:rPr>
          <w:rFonts w:asciiTheme="majorHAnsi" w:hAnsiTheme="majorHAnsi" w:cstheme="majorHAnsi"/>
          <w:sz w:val="24"/>
          <w:szCs w:val="24"/>
          <w:lang w:val="ro-MD"/>
        </w:rPr>
        <w:t xml:space="preserve">ansport </w:t>
      </w:r>
      <w:r w:rsidR="0077028F" w:rsidRPr="00231547">
        <w:rPr>
          <w:rFonts w:asciiTheme="majorHAnsi" w:hAnsiTheme="majorHAnsi" w:cstheme="majorHAnsi"/>
          <w:sz w:val="24"/>
          <w:szCs w:val="24"/>
          <w:lang w:val="ro-MD"/>
        </w:rPr>
        <w:t>din</w:t>
      </w:r>
      <w:r w:rsidR="00A177F1" w:rsidRPr="00231547">
        <w:rPr>
          <w:rFonts w:asciiTheme="majorHAnsi" w:hAnsiTheme="majorHAnsi" w:cstheme="majorHAnsi"/>
          <w:sz w:val="24"/>
          <w:szCs w:val="24"/>
          <w:lang w:val="ro-MD"/>
        </w:rPr>
        <w:t xml:space="preserve"> gestiunea misiunilor diplomatice și oficiilor consulare</w:t>
      </w:r>
      <w:r w:rsidR="0077028F" w:rsidRPr="00231547">
        <w:rPr>
          <w:rFonts w:asciiTheme="majorHAnsi" w:hAnsiTheme="majorHAnsi" w:cstheme="majorHAnsi"/>
          <w:sz w:val="24"/>
          <w:szCs w:val="24"/>
          <w:lang w:val="ro-MD"/>
        </w:rPr>
        <w:t>. Aceste</w:t>
      </w:r>
      <w:r w:rsidR="000E728D" w:rsidRPr="00231547">
        <w:rPr>
          <w:rFonts w:asciiTheme="majorHAnsi" w:hAnsiTheme="majorHAnsi" w:cstheme="majorHAnsi"/>
          <w:sz w:val="24"/>
          <w:szCs w:val="24"/>
          <w:lang w:val="ro-MD"/>
        </w:rPr>
        <w:t xml:space="preserve"> mijloace au fost folosite la</w:t>
      </w:r>
      <w:r w:rsidRPr="00231547">
        <w:rPr>
          <w:rFonts w:asciiTheme="majorHAnsi" w:hAnsiTheme="majorHAnsi" w:cstheme="majorHAnsi"/>
          <w:sz w:val="24"/>
          <w:szCs w:val="24"/>
          <w:lang w:val="ro-MD"/>
        </w:rPr>
        <w:t xml:space="preserve"> transport</w:t>
      </w:r>
      <w:r w:rsidR="000E728D" w:rsidRPr="00231547">
        <w:rPr>
          <w:rFonts w:asciiTheme="majorHAnsi" w:hAnsiTheme="majorHAnsi" w:cstheme="majorHAnsi"/>
          <w:sz w:val="24"/>
          <w:szCs w:val="24"/>
          <w:lang w:val="ro-MD"/>
        </w:rPr>
        <w:t>area</w:t>
      </w:r>
      <w:r w:rsidRPr="00231547">
        <w:rPr>
          <w:rFonts w:asciiTheme="majorHAnsi" w:hAnsiTheme="majorHAnsi" w:cstheme="majorHAnsi"/>
          <w:sz w:val="24"/>
          <w:szCs w:val="24"/>
          <w:lang w:val="ro-MD"/>
        </w:rPr>
        <w:t xml:space="preserve"> angajaților/membrilor familiilor/persoanelor străine, creând premise pentru abuzuri în utilizarea mijloacelor de transport în alte</w:t>
      </w:r>
      <w:r w:rsidR="00F971E5" w:rsidRPr="00231547">
        <w:rPr>
          <w:rFonts w:asciiTheme="majorHAnsi" w:hAnsiTheme="majorHAnsi" w:cstheme="majorHAnsi"/>
          <w:sz w:val="24"/>
          <w:szCs w:val="24"/>
          <w:lang w:val="ro-MD"/>
        </w:rPr>
        <w:t xml:space="preserve"> scopuri decât cele de serviciu, fiind</w:t>
      </w:r>
      <w:r w:rsidR="001808E7" w:rsidRPr="00231547">
        <w:rPr>
          <w:rFonts w:asciiTheme="majorHAnsi" w:hAnsiTheme="majorHAnsi" w:cstheme="majorHAnsi"/>
          <w:sz w:val="24"/>
          <w:szCs w:val="24"/>
          <w:lang w:val="ro-MD"/>
        </w:rPr>
        <w:t xml:space="preserve"> </w:t>
      </w:r>
      <w:r w:rsidR="00F971E5" w:rsidRPr="00231547">
        <w:rPr>
          <w:rFonts w:asciiTheme="majorHAnsi" w:hAnsiTheme="majorHAnsi" w:cstheme="majorHAnsi"/>
          <w:sz w:val="24"/>
          <w:szCs w:val="24"/>
          <w:lang w:val="ro-MD"/>
        </w:rPr>
        <w:lastRenderedPageBreak/>
        <w:t>necesar</w:t>
      </w:r>
      <w:r w:rsidR="0077028F" w:rsidRPr="00231547">
        <w:rPr>
          <w:rFonts w:asciiTheme="majorHAnsi" w:hAnsiTheme="majorHAnsi" w:cstheme="majorHAnsi"/>
          <w:sz w:val="24"/>
          <w:szCs w:val="24"/>
          <w:lang w:val="ro-MD"/>
        </w:rPr>
        <w:t>ă</w:t>
      </w:r>
      <w:r w:rsidR="00F971E5" w:rsidRPr="00231547">
        <w:rPr>
          <w:rFonts w:asciiTheme="majorHAnsi" w:hAnsiTheme="majorHAnsi" w:cstheme="majorHAnsi"/>
          <w:sz w:val="24"/>
          <w:szCs w:val="24"/>
          <w:lang w:val="ro-MD"/>
        </w:rPr>
        <w:t xml:space="preserve"> asigurarea unui control riguros din partea Ministerului Afacerilor Externe și Integrării Europene.</w:t>
      </w:r>
    </w:p>
    <w:p w14:paraId="5B53DB4F" w14:textId="2D4E7B4B" w:rsidR="00D42988" w:rsidRPr="00231547" w:rsidRDefault="00BC7CBC" w:rsidP="00D42988">
      <w:pPr>
        <w:pStyle w:val="ListParagraph"/>
        <w:numPr>
          <w:ilvl w:val="1"/>
          <w:numId w:val="1"/>
        </w:numPr>
        <w:ind w:left="0" w:firstLine="0"/>
        <w:jc w:val="both"/>
        <w:rPr>
          <w:rFonts w:asciiTheme="majorHAnsi" w:hAnsiTheme="majorHAnsi" w:cstheme="majorHAnsi"/>
          <w:sz w:val="24"/>
          <w:szCs w:val="24"/>
          <w:lang w:val="ro-MD"/>
        </w:rPr>
      </w:pPr>
      <w:r w:rsidRPr="00231547">
        <w:rPr>
          <w:rFonts w:asciiTheme="majorHAnsi" w:hAnsiTheme="majorHAnsi" w:cstheme="majorHAnsi"/>
          <w:sz w:val="24"/>
          <w:szCs w:val="24"/>
          <w:lang w:val="ro-MD"/>
        </w:rPr>
        <w:t xml:space="preserve">Întocmirea de către persoanele responsabile a foilor de parcurs și a registrelor contabile de evidență și casare a combustibilului nu a asigurat în deplină măsură conformitatea cu reglementările aferente. Astfel, </w:t>
      </w:r>
      <w:r w:rsidR="009A7A97" w:rsidRPr="00231547">
        <w:rPr>
          <w:rFonts w:asciiTheme="majorHAnsi" w:hAnsiTheme="majorHAnsi" w:cstheme="majorHAnsi"/>
          <w:sz w:val="24"/>
          <w:szCs w:val="24"/>
          <w:lang w:val="ro-MD"/>
        </w:rPr>
        <w:t>la</w:t>
      </w:r>
      <w:r w:rsidR="00A177F1" w:rsidRPr="00231547">
        <w:rPr>
          <w:rFonts w:asciiTheme="majorHAnsi" w:hAnsiTheme="majorHAnsi" w:cstheme="majorHAnsi"/>
          <w:sz w:val="24"/>
          <w:szCs w:val="24"/>
          <w:lang w:val="ro-MD"/>
        </w:rPr>
        <w:t xml:space="preserve"> 8 misiuni diplomatice și oficii consulare</w:t>
      </w:r>
      <w:r w:rsidRPr="00231547">
        <w:rPr>
          <w:rStyle w:val="FootnoteReference"/>
          <w:rFonts w:asciiTheme="majorHAnsi" w:hAnsiTheme="majorHAnsi" w:cstheme="majorHAnsi"/>
          <w:sz w:val="24"/>
          <w:szCs w:val="24"/>
          <w:lang w:val="ro-MD"/>
        </w:rPr>
        <w:footnoteReference w:id="16"/>
      </w:r>
      <w:r w:rsidR="00FA1BE8" w:rsidRPr="00231547">
        <w:rPr>
          <w:rFonts w:asciiTheme="majorHAnsi" w:hAnsiTheme="majorHAnsi" w:cstheme="majorHAnsi"/>
          <w:sz w:val="24"/>
          <w:szCs w:val="24"/>
          <w:lang w:val="ro-MD"/>
        </w:rPr>
        <w:t>,</w:t>
      </w:r>
      <w:r w:rsidR="00A177F1" w:rsidRPr="00231547">
        <w:rPr>
          <w:rFonts w:asciiTheme="majorHAnsi" w:hAnsiTheme="majorHAnsi" w:cstheme="majorHAnsi"/>
          <w:sz w:val="24"/>
          <w:szCs w:val="24"/>
          <w:lang w:val="ro-MD"/>
        </w:rPr>
        <w:t xml:space="preserve"> din 16</w:t>
      </w:r>
      <w:r w:rsidRPr="00231547">
        <w:rPr>
          <w:rFonts w:asciiTheme="majorHAnsi" w:hAnsiTheme="majorHAnsi" w:cstheme="majorHAnsi"/>
          <w:sz w:val="24"/>
          <w:szCs w:val="24"/>
          <w:lang w:val="ro-MD"/>
        </w:rPr>
        <w:t xml:space="preserve"> verificate, foile de parcurs nu sunt completate conform la unele compartimente, cum ar fi: punctul de plecare/ punctul de destinație, timp</w:t>
      </w:r>
      <w:r w:rsidR="000E728D" w:rsidRPr="00231547">
        <w:rPr>
          <w:rFonts w:asciiTheme="majorHAnsi" w:hAnsiTheme="majorHAnsi" w:cstheme="majorHAnsi"/>
          <w:sz w:val="24"/>
          <w:szCs w:val="24"/>
          <w:lang w:val="ro-MD"/>
        </w:rPr>
        <w:t>ul de</w:t>
      </w:r>
      <w:r w:rsidRPr="00231547">
        <w:rPr>
          <w:rFonts w:asciiTheme="majorHAnsi" w:hAnsiTheme="majorHAnsi" w:cstheme="majorHAnsi"/>
          <w:sz w:val="24"/>
          <w:szCs w:val="24"/>
          <w:lang w:val="ro-MD"/>
        </w:rPr>
        <w:t xml:space="preserve"> plecare/timp</w:t>
      </w:r>
      <w:r w:rsidR="000E728D" w:rsidRPr="00231547">
        <w:rPr>
          <w:rFonts w:asciiTheme="majorHAnsi" w:hAnsiTheme="majorHAnsi" w:cstheme="majorHAnsi"/>
          <w:sz w:val="24"/>
          <w:szCs w:val="24"/>
          <w:lang w:val="ro-MD"/>
        </w:rPr>
        <w:t>ul de</w:t>
      </w:r>
      <w:r w:rsidRPr="00231547">
        <w:rPr>
          <w:rFonts w:asciiTheme="majorHAnsi" w:hAnsiTheme="majorHAnsi" w:cstheme="majorHAnsi"/>
          <w:sz w:val="24"/>
          <w:szCs w:val="24"/>
          <w:lang w:val="ro-MD"/>
        </w:rPr>
        <w:t xml:space="preserve"> sosire, parcursul autoturismului și lips</w:t>
      </w:r>
      <w:r w:rsidR="000E728D" w:rsidRPr="00231547">
        <w:rPr>
          <w:rFonts w:asciiTheme="majorHAnsi" w:hAnsiTheme="majorHAnsi" w:cstheme="majorHAnsi"/>
          <w:sz w:val="24"/>
          <w:szCs w:val="24"/>
          <w:lang w:val="ro-MD"/>
        </w:rPr>
        <w:t>a</w:t>
      </w:r>
      <w:r w:rsidRPr="00231547">
        <w:rPr>
          <w:rFonts w:asciiTheme="majorHAnsi" w:hAnsiTheme="majorHAnsi" w:cstheme="majorHAnsi"/>
          <w:sz w:val="24"/>
          <w:szCs w:val="24"/>
          <w:lang w:val="ro-MD"/>
        </w:rPr>
        <w:t xml:space="preserve"> semnăturil</w:t>
      </w:r>
      <w:r w:rsidR="000E728D" w:rsidRPr="00231547">
        <w:rPr>
          <w:rFonts w:asciiTheme="majorHAnsi" w:hAnsiTheme="majorHAnsi" w:cstheme="majorHAnsi"/>
          <w:sz w:val="24"/>
          <w:szCs w:val="24"/>
          <w:lang w:val="ro-MD"/>
        </w:rPr>
        <w:t>or</w:t>
      </w:r>
      <w:r w:rsidRPr="00231547">
        <w:rPr>
          <w:rFonts w:asciiTheme="majorHAnsi" w:hAnsiTheme="majorHAnsi" w:cstheme="majorHAnsi"/>
          <w:sz w:val="24"/>
          <w:szCs w:val="24"/>
          <w:lang w:val="ro-MD"/>
        </w:rPr>
        <w:t xml:space="preserve"> beneficiarului. Totodată, se indică parcursul total pe zi sau lună, fără a fi detailat raportat</w:t>
      </w:r>
      <w:r w:rsidR="000E728D" w:rsidRPr="00231547">
        <w:rPr>
          <w:rFonts w:asciiTheme="majorHAnsi" w:hAnsiTheme="majorHAnsi" w:cstheme="majorHAnsi"/>
          <w:sz w:val="24"/>
          <w:szCs w:val="24"/>
          <w:lang w:val="ro-MD"/>
        </w:rPr>
        <w:t>e</w:t>
      </w:r>
      <w:r w:rsidRPr="00231547">
        <w:rPr>
          <w:rFonts w:asciiTheme="majorHAnsi" w:hAnsiTheme="majorHAnsi" w:cstheme="majorHAnsi"/>
          <w:sz w:val="24"/>
          <w:szCs w:val="24"/>
          <w:lang w:val="ro-MD"/>
        </w:rPr>
        <w:t xml:space="preserve"> distanța și parcursul pentru fiecare zi.</w:t>
      </w:r>
      <w:r w:rsidR="005F1B77" w:rsidRPr="00231547">
        <w:rPr>
          <w:rFonts w:asciiTheme="majorHAnsi" w:hAnsiTheme="majorHAnsi" w:cstheme="majorHAnsi"/>
          <w:sz w:val="24"/>
          <w:szCs w:val="24"/>
          <w:lang w:val="ro-MD"/>
        </w:rPr>
        <w:t xml:space="preserve"> </w:t>
      </w:r>
    </w:p>
    <w:p w14:paraId="75DE15CE" w14:textId="4E598518" w:rsidR="00AB0819" w:rsidRPr="00231547" w:rsidRDefault="005F1B77" w:rsidP="00D42988">
      <w:pPr>
        <w:pStyle w:val="ListParagraph"/>
        <w:ind w:left="0"/>
        <w:jc w:val="both"/>
        <w:rPr>
          <w:rFonts w:asciiTheme="majorHAnsi" w:hAnsiTheme="majorHAnsi" w:cstheme="majorHAnsi"/>
          <w:sz w:val="8"/>
          <w:szCs w:val="8"/>
          <w:lang w:val="ro-MD"/>
        </w:rPr>
      </w:pPr>
      <w:r w:rsidRPr="00231547">
        <w:rPr>
          <w:rFonts w:asciiTheme="majorHAnsi" w:hAnsiTheme="majorHAnsi" w:cstheme="majorHAnsi"/>
          <w:sz w:val="24"/>
          <w:szCs w:val="24"/>
          <w:lang w:val="ro-MD"/>
        </w:rPr>
        <w:t xml:space="preserve"> </w:t>
      </w:r>
    </w:p>
    <w:p w14:paraId="68455A91" w14:textId="4D10AE16" w:rsidR="00351779" w:rsidRPr="00231547" w:rsidRDefault="00505D5D" w:rsidP="000E728D">
      <w:pPr>
        <w:pStyle w:val="ListParagraph"/>
        <w:numPr>
          <w:ilvl w:val="1"/>
          <w:numId w:val="1"/>
        </w:numPr>
        <w:ind w:left="0" w:firstLine="0"/>
        <w:jc w:val="both"/>
        <w:rPr>
          <w:rFonts w:asciiTheme="majorHAnsi" w:hAnsiTheme="majorHAnsi" w:cstheme="majorHAnsi"/>
          <w:sz w:val="24"/>
          <w:szCs w:val="24"/>
          <w:lang w:val="ro-MD"/>
        </w:rPr>
      </w:pPr>
      <w:r w:rsidRPr="00231547">
        <w:rPr>
          <w:rFonts w:asciiTheme="majorHAnsi" w:hAnsiTheme="majorHAnsi" w:cstheme="majorHAnsi"/>
          <w:sz w:val="24"/>
          <w:szCs w:val="24"/>
          <w:lang w:val="ro-MD"/>
        </w:rPr>
        <w:t>A</w:t>
      </w:r>
      <w:r w:rsidR="00F03D72" w:rsidRPr="00231547">
        <w:rPr>
          <w:rFonts w:asciiTheme="majorHAnsi" w:hAnsiTheme="majorHAnsi" w:cstheme="majorHAnsi"/>
          <w:sz w:val="24"/>
          <w:szCs w:val="24"/>
          <w:lang w:val="ro-MD"/>
        </w:rPr>
        <w:t>uditul atenționează asupra neconformităților ce țin de raportarea stocurilor de materiale circulante utilizate în perioada electorală. Astfel, nu au fost aplicate prevederile cadrului normativ de evidență contabilă și raportare financiară, de c</w:t>
      </w:r>
      <w:r w:rsidR="00A177F1" w:rsidRPr="00231547">
        <w:rPr>
          <w:rFonts w:asciiTheme="majorHAnsi" w:hAnsiTheme="majorHAnsi" w:cstheme="majorHAnsi"/>
          <w:sz w:val="24"/>
          <w:szCs w:val="24"/>
          <w:lang w:val="ro-MD"/>
        </w:rPr>
        <w:t>ătre 14 misiuni diplomatice și oficii consulare</w:t>
      </w:r>
      <w:r w:rsidR="00F03D72" w:rsidRPr="00231547">
        <w:rPr>
          <w:rFonts w:asciiTheme="majorHAnsi" w:hAnsiTheme="majorHAnsi" w:cstheme="majorHAnsi"/>
          <w:sz w:val="24"/>
          <w:szCs w:val="24"/>
          <w:vertAlign w:val="superscript"/>
          <w:lang w:val="ro-MD"/>
        </w:rPr>
        <w:footnoteReference w:id="17"/>
      </w:r>
      <w:r w:rsidR="00CA7866" w:rsidRPr="00231547">
        <w:rPr>
          <w:rFonts w:asciiTheme="majorHAnsi" w:hAnsiTheme="majorHAnsi" w:cstheme="majorHAnsi"/>
          <w:sz w:val="24"/>
          <w:szCs w:val="24"/>
          <w:lang w:val="ro-MD"/>
        </w:rPr>
        <w:t>,</w:t>
      </w:r>
      <w:r w:rsidR="00F03D72" w:rsidRPr="00231547">
        <w:rPr>
          <w:rFonts w:asciiTheme="majorHAnsi" w:hAnsiTheme="majorHAnsi" w:cstheme="majorHAnsi"/>
          <w:sz w:val="24"/>
          <w:szCs w:val="24"/>
          <w:lang w:val="ro-MD"/>
        </w:rPr>
        <w:t xml:space="preserve">  pentru grupa de conturi 333 </w:t>
      </w:r>
      <w:r w:rsidR="000E728D" w:rsidRPr="00231547">
        <w:rPr>
          <w:rFonts w:asciiTheme="majorHAnsi" w:hAnsiTheme="majorHAnsi" w:cstheme="majorHAnsi"/>
          <w:sz w:val="24"/>
          <w:szCs w:val="24"/>
          <w:lang w:val="ro-MD"/>
        </w:rPr>
        <w:t>„</w:t>
      </w:r>
      <w:r w:rsidR="00F03D72" w:rsidRPr="00231547">
        <w:rPr>
          <w:rFonts w:asciiTheme="majorHAnsi" w:hAnsiTheme="majorHAnsi" w:cstheme="majorHAnsi"/>
          <w:sz w:val="24"/>
          <w:szCs w:val="24"/>
          <w:lang w:val="ro-MD"/>
        </w:rPr>
        <w:t xml:space="preserve">Procurarea produselor alimentare” – </w:t>
      </w:r>
      <w:r w:rsidR="00CA7866" w:rsidRPr="00231547">
        <w:rPr>
          <w:rFonts w:asciiTheme="majorHAnsi" w:hAnsiTheme="majorHAnsi" w:cstheme="majorHAnsi"/>
          <w:sz w:val="24"/>
          <w:szCs w:val="24"/>
          <w:lang w:val="ro-MD"/>
        </w:rPr>
        <w:t xml:space="preserve">în sumă de </w:t>
      </w:r>
      <w:r w:rsidR="00F03D72" w:rsidRPr="00231547">
        <w:rPr>
          <w:rFonts w:asciiTheme="majorHAnsi" w:hAnsiTheme="majorHAnsi" w:cstheme="majorHAnsi"/>
          <w:sz w:val="24"/>
          <w:szCs w:val="24"/>
          <w:lang w:val="ro-MD"/>
        </w:rPr>
        <w:t xml:space="preserve">0,5 mil. lei, și la grupa de conturi 336 </w:t>
      </w:r>
      <w:r w:rsidR="000E728D" w:rsidRPr="00231547">
        <w:rPr>
          <w:rFonts w:asciiTheme="majorHAnsi" w:hAnsiTheme="majorHAnsi" w:cstheme="majorHAnsi"/>
          <w:sz w:val="24"/>
          <w:szCs w:val="24"/>
          <w:lang w:val="ro-MD"/>
        </w:rPr>
        <w:t>„</w:t>
      </w:r>
      <w:r w:rsidR="00F03D72" w:rsidRPr="00231547">
        <w:rPr>
          <w:rFonts w:asciiTheme="majorHAnsi" w:hAnsiTheme="majorHAnsi" w:cstheme="majorHAnsi"/>
          <w:sz w:val="24"/>
          <w:szCs w:val="24"/>
          <w:lang w:val="ro-MD"/>
        </w:rPr>
        <w:t xml:space="preserve">Procurarea materialelor de uz gospodăresc </w:t>
      </w:r>
      <w:r w:rsidR="000E728D" w:rsidRPr="00231547">
        <w:rPr>
          <w:rFonts w:asciiTheme="majorHAnsi" w:hAnsiTheme="majorHAnsi" w:cstheme="majorHAnsi"/>
          <w:sz w:val="24"/>
          <w:szCs w:val="24"/>
          <w:lang w:val="ro-MD"/>
        </w:rPr>
        <w:t>ș</w:t>
      </w:r>
      <w:r w:rsidR="00F03D72" w:rsidRPr="00231547">
        <w:rPr>
          <w:rFonts w:asciiTheme="majorHAnsi" w:hAnsiTheme="majorHAnsi" w:cstheme="majorHAnsi"/>
          <w:sz w:val="24"/>
          <w:szCs w:val="24"/>
          <w:lang w:val="ro-MD"/>
        </w:rPr>
        <w:t xml:space="preserve">i rechizitelor de birou” </w:t>
      </w:r>
      <w:r w:rsidR="000E728D" w:rsidRPr="00231547">
        <w:rPr>
          <w:rFonts w:asciiTheme="majorHAnsi" w:hAnsiTheme="majorHAnsi" w:cstheme="majorHAnsi"/>
          <w:sz w:val="24"/>
          <w:szCs w:val="24"/>
          <w:lang w:val="ro-MD"/>
        </w:rPr>
        <w:t xml:space="preserve">– </w:t>
      </w:r>
      <w:r w:rsidR="00CA7866" w:rsidRPr="00231547">
        <w:rPr>
          <w:rFonts w:asciiTheme="majorHAnsi" w:hAnsiTheme="majorHAnsi" w:cstheme="majorHAnsi"/>
          <w:sz w:val="24"/>
          <w:szCs w:val="24"/>
          <w:lang w:val="ro-MD"/>
        </w:rPr>
        <w:t xml:space="preserve">de </w:t>
      </w:r>
      <w:r w:rsidR="00F03D72" w:rsidRPr="00231547">
        <w:rPr>
          <w:rFonts w:asciiTheme="majorHAnsi" w:hAnsiTheme="majorHAnsi" w:cstheme="majorHAnsi"/>
          <w:sz w:val="24"/>
          <w:szCs w:val="24"/>
          <w:lang w:val="ro-MD"/>
        </w:rPr>
        <w:t>0,2 mil. lei, fiind lipsă evidența analitică a acestora. În această situație</w:t>
      </w:r>
      <w:r w:rsidR="000E728D" w:rsidRPr="00231547">
        <w:rPr>
          <w:rFonts w:asciiTheme="majorHAnsi" w:hAnsiTheme="majorHAnsi" w:cstheme="majorHAnsi"/>
          <w:sz w:val="24"/>
          <w:szCs w:val="24"/>
          <w:lang w:val="ro-MD"/>
        </w:rPr>
        <w:t>,</w:t>
      </w:r>
      <w:r w:rsidR="00F03D72" w:rsidRPr="00231547">
        <w:rPr>
          <w:rFonts w:asciiTheme="majorHAnsi" w:hAnsiTheme="majorHAnsi" w:cstheme="majorHAnsi"/>
          <w:sz w:val="24"/>
          <w:szCs w:val="24"/>
          <w:lang w:val="ro-MD"/>
        </w:rPr>
        <w:t xml:space="preserve"> se atestă afectarea principiului bugetar privind transparența utilizării resurselor bugetare.</w:t>
      </w:r>
    </w:p>
    <w:p w14:paraId="5E8589AC" w14:textId="77777777" w:rsidR="00F971E5" w:rsidRPr="00231547" w:rsidRDefault="00F971E5" w:rsidP="00B12D2F">
      <w:pPr>
        <w:pStyle w:val="ListParagraph"/>
        <w:ind w:left="0"/>
        <w:jc w:val="both"/>
        <w:rPr>
          <w:rFonts w:asciiTheme="majorHAnsi" w:hAnsiTheme="majorHAnsi" w:cstheme="majorHAnsi"/>
          <w:sz w:val="8"/>
          <w:szCs w:val="8"/>
          <w:lang w:val="ro-MD"/>
        </w:rPr>
      </w:pPr>
    </w:p>
    <w:p w14:paraId="45F59404" w14:textId="16C1567A" w:rsidR="00351779" w:rsidRPr="00231547" w:rsidRDefault="00D3329B" w:rsidP="00B12D2F">
      <w:pPr>
        <w:pStyle w:val="ListParagraph"/>
        <w:ind w:left="0"/>
        <w:jc w:val="both"/>
        <w:rPr>
          <w:rFonts w:asciiTheme="majorHAnsi" w:hAnsiTheme="majorHAnsi" w:cstheme="majorHAnsi"/>
          <w:sz w:val="24"/>
          <w:szCs w:val="24"/>
          <w:lang w:val="ro-MD"/>
        </w:rPr>
      </w:pPr>
      <w:r w:rsidRPr="00231547">
        <w:rPr>
          <w:rFonts w:asciiTheme="majorHAnsi" w:hAnsiTheme="majorHAnsi" w:cstheme="majorHAnsi"/>
          <w:sz w:val="24"/>
          <w:szCs w:val="24"/>
          <w:shd w:val="clear" w:color="auto" w:fill="FFFFFF"/>
          <w:lang w:val="ro-MD"/>
        </w:rPr>
        <w:t>U</w:t>
      </w:r>
      <w:r w:rsidR="00351779" w:rsidRPr="00231547">
        <w:rPr>
          <w:rFonts w:asciiTheme="majorHAnsi" w:hAnsiTheme="majorHAnsi" w:cstheme="majorHAnsi"/>
          <w:sz w:val="24"/>
          <w:szCs w:val="24"/>
          <w:shd w:val="clear" w:color="auto" w:fill="FFFFFF"/>
          <w:lang w:val="ro-MD"/>
        </w:rPr>
        <w:t xml:space="preserve">nele misiuni diplomatice și oficii consulare dispun </w:t>
      </w:r>
      <w:r w:rsidRPr="00231547">
        <w:rPr>
          <w:rFonts w:asciiTheme="majorHAnsi" w:hAnsiTheme="majorHAnsi" w:cstheme="majorHAnsi"/>
          <w:sz w:val="24"/>
          <w:szCs w:val="24"/>
          <w:shd w:val="clear" w:color="auto" w:fill="FFFFFF"/>
          <w:lang w:val="ro-MD"/>
        </w:rPr>
        <w:t xml:space="preserve">în stocuri </w:t>
      </w:r>
      <w:r w:rsidR="00CA7866" w:rsidRPr="00231547">
        <w:rPr>
          <w:rFonts w:asciiTheme="majorHAnsi" w:hAnsiTheme="majorHAnsi" w:cstheme="majorHAnsi"/>
          <w:sz w:val="24"/>
          <w:szCs w:val="24"/>
          <w:shd w:val="clear" w:color="auto" w:fill="FFFFFF"/>
          <w:lang w:val="ro-MD"/>
        </w:rPr>
        <w:t xml:space="preserve">de </w:t>
      </w:r>
      <w:r w:rsidR="00351779" w:rsidRPr="00231547">
        <w:rPr>
          <w:rFonts w:asciiTheme="majorHAnsi" w:hAnsiTheme="majorHAnsi" w:cstheme="majorHAnsi"/>
          <w:sz w:val="24"/>
          <w:szCs w:val="24"/>
          <w:shd w:val="clear" w:color="auto" w:fill="FFFFFF"/>
          <w:lang w:val="ro-MD"/>
        </w:rPr>
        <w:t>seturi de veselă</w:t>
      </w:r>
      <w:r w:rsidR="004E6BD6" w:rsidRPr="00231547">
        <w:rPr>
          <w:rFonts w:asciiTheme="majorHAnsi" w:hAnsiTheme="majorHAnsi" w:cstheme="majorHAnsi"/>
          <w:sz w:val="24"/>
          <w:szCs w:val="24"/>
          <w:shd w:val="clear" w:color="auto" w:fill="FFFFFF"/>
          <w:lang w:val="ro-MD"/>
        </w:rPr>
        <w:t>,</w:t>
      </w:r>
      <w:r w:rsidR="00351779" w:rsidRPr="00231547">
        <w:rPr>
          <w:rFonts w:asciiTheme="majorHAnsi" w:hAnsiTheme="majorHAnsi" w:cstheme="majorHAnsi"/>
          <w:sz w:val="24"/>
          <w:szCs w:val="24"/>
          <w:shd w:val="clear" w:color="auto" w:fill="FFFFFF"/>
          <w:lang w:val="ro-MD"/>
        </w:rPr>
        <w:t xml:space="preserve"> </w:t>
      </w:r>
      <w:r w:rsidRPr="00231547">
        <w:rPr>
          <w:rFonts w:asciiTheme="majorHAnsi" w:hAnsiTheme="majorHAnsi" w:cstheme="majorHAnsi"/>
          <w:sz w:val="24"/>
          <w:szCs w:val="24"/>
          <w:shd w:val="clear" w:color="auto" w:fill="FFFFFF"/>
          <w:lang w:val="ro-MD"/>
        </w:rPr>
        <w:t xml:space="preserve">obiecte de uz gospodăresc, improprii activității </w:t>
      </w:r>
      <w:r w:rsidR="00CA7866" w:rsidRPr="00231547">
        <w:rPr>
          <w:rFonts w:asciiTheme="majorHAnsi" w:hAnsiTheme="majorHAnsi" w:cstheme="majorHAnsi"/>
          <w:sz w:val="24"/>
          <w:szCs w:val="24"/>
          <w:shd w:val="clear" w:color="auto" w:fill="FFFFFF"/>
          <w:lang w:val="ro-MD"/>
        </w:rPr>
        <w:t>lor</w:t>
      </w:r>
      <w:r w:rsidRPr="00231547">
        <w:rPr>
          <w:rFonts w:asciiTheme="majorHAnsi" w:hAnsiTheme="majorHAnsi" w:cstheme="majorHAnsi"/>
          <w:sz w:val="24"/>
          <w:szCs w:val="24"/>
          <w:shd w:val="clear" w:color="auto" w:fill="FFFFFF"/>
          <w:lang w:val="ro-MD"/>
        </w:rPr>
        <w:t>, acestea fiind destinate pentru reședința conducătorului, care</w:t>
      </w:r>
      <w:r w:rsidR="00932848" w:rsidRPr="00231547">
        <w:rPr>
          <w:rFonts w:asciiTheme="majorHAnsi" w:hAnsiTheme="majorHAnsi" w:cstheme="majorHAnsi"/>
          <w:sz w:val="24"/>
          <w:szCs w:val="24"/>
          <w:shd w:val="clear" w:color="auto" w:fill="FFFFFF"/>
          <w:lang w:val="ro-MD"/>
        </w:rPr>
        <w:t>,</w:t>
      </w:r>
      <w:r w:rsidRPr="00231547">
        <w:rPr>
          <w:rFonts w:asciiTheme="majorHAnsi" w:hAnsiTheme="majorHAnsi" w:cstheme="majorHAnsi"/>
          <w:sz w:val="24"/>
          <w:szCs w:val="24"/>
          <w:shd w:val="clear" w:color="auto" w:fill="FFFFFF"/>
          <w:lang w:val="ro-MD"/>
        </w:rPr>
        <w:t xml:space="preserve"> </w:t>
      </w:r>
      <w:r w:rsidR="00CA7866" w:rsidRPr="00231547">
        <w:rPr>
          <w:rFonts w:asciiTheme="majorHAnsi" w:hAnsiTheme="majorHAnsi" w:cstheme="majorHAnsi"/>
          <w:sz w:val="24"/>
          <w:szCs w:val="24"/>
          <w:shd w:val="clear" w:color="auto" w:fill="FFFFFF"/>
          <w:lang w:val="ro-MD"/>
        </w:rPr>
        <w:t xml:space="preserve">potrivit </w:t>
      </w:r>
      <w:r w:rsidRPr="00231547">
        <w:rPr>
          <w:rFonts w:asciiTheme="majorHAnsi" w:hAnsiTheme="majorHAnsi" w:cstheme="majorHAnsi"/>
          <w:sz w:val="24"/>
          <w:szCs w:val="24"/>
          <w:shd w:val="clear" w:color="auto" w:fill="FFFFFF"/>
          <w:lang w:val="ro-MD"/>
        </w:rPr>
        <w:t>cadrului legal</w:t>
      </w:r>
      <w:r w:rsidRPr="00231547">
        <w:rPr>
          <w:rFonts w:asciiTheme="majorHAnsi" w:hAnsiTheme="majorHAnsi" w:cstheme="majorHAnsi"/>
          <w:sz w:val="24"/>
          <w:szCs w:val="24"/>
          <w:shd w:val="clear" w:color="auto" w:fill="FFFFFF"/>
          <w:vertAlign w:val="superscript"/>
          <w:lang w:val="ro-MD"/>
        </w:rPr>
        <w:footnoteReference w:id="18"/>
      </w:r>
      <w:r w:rsidRPr="00231547">
        <w:rPr>
          <w:rFonts w:asciiTheme="majorHAnsi" w:hAnsiTheme="majorHAnsi" w:cstheme="majorHAnsi"/>
          <w:sz w:val="24"/>
          <w:szCs w:val="24"/>
          <w:shd w:val="clear" w:color="auto" w:fill="FFFFFF"/>
          <w:lang w:val="ro-MD"/>
        </w:rPr>
        <w:t xml:space="preserve">, se achiziționează </w:t>
      </w:r>
      <w:r w:rsidR="00A37903" w:rsidRPr="00231547">
        <w:rPr>
          <w:rFonts w:asciiTheme="majorHAnsi" w:hAnsiTheme="majorHAnsi" w:cstheme="majorHAnsi"/>
          <w:sz w:val="24"/>
          <w:szCs w:val="24"/>
          <w:shd w:val="clear" w:color="auto" w:fill="FFFFFF"/>
          <w:lang w:val="ro-MD"/>
        </w:rPr>
        <w:t>din cont propriu</w:t>
      </w:r>
      <w:r w:rsidR="00932848" w:rsidRPr="00231547">
        <w:rPr>
          <w:rFonts w:asciiTheme="majorHAnsi" w:hAnsiTheme="majorHAnsi" w:cstheme="majorHAnsi"/>
          <w:sz w:val="24"/>
          <w:szCs w:val="24"/>
          <w:shd w:val="clear" w:color="auto" w:fill="FFFFFF"/>
          <w:lang w:val="ro-MD"/>
        </w:rPr>
        <w:t xml:space="preserve"> de către membrii misiunii</w:t>
      </w:r>
      <w:r w:rsidR="00A37903" w:rsidRPr="00231547">
        <w:rPr>
          <w:rFonts w:asciiTheme="majorHAnsi" w:hAnsiTheme="majorHAnsi" w:cstheme="majorHAnsi"/>
          <w:sz w:val="24"/>
          <w:szCs w:val="24"/>
          <w:shd w:val="clear" w:color="auto" w:fill="FFFFFF"/>
          <w:lang w:val="ro-MD"/>
        </w:rPr>
        <w:t>.</w:t>
      </w:r>
      <w:r w:rsidRPr="00231547">
        <w:rPr>
          <w:rFonts w:asciiTheme="majorHAnsi" w:hAnsiTheme="majorHAnsi" w:cstheme="majorHAnsi"/>
          <w:sz w:val="24"/>
          <w:szCs w:val="24"/>
          <w:shd w:val="clear" w:color="auto" w:fill="FFFFFF"/>
          <w:lang w:val="ro-MD"/>
        </w:rPr>
        <w:t xml:space="preserve"> </w:t>
      </w:r>
    </w:p>
    <w:p w14:paraId="4697F4C7" w14:textId="77777777" w:rsidR="00351779" w:rsidRPr="00231547" w:rsidRDefault="00351779" w:rsidP="00B12D2F">
      <w:pPr>
        <w:pStyle w:val="ListParagraph"/>
        <w:ind w:left="0"/>
        <w:jc w:val="both"/>
        <w:rPr>
          <w:rFonts w:asciiTheme="majorHAnsi" w:hAnsiTheme="majorHAnsi" w:cstheme="majorHAnsi"/>
          <w:sz w:val="8"/>
          <w:szCs w:val="8"/>
          <w:lang w:val="ro-MD"/>
        </w:rPr>
      </w:pPr>
    </w:p>
    <w:p w14:paraId="00B6826D" w14:textId="53AEBD5E" w:rsidR="00434512" w:rsidRPr="00231547" w:rsidRDefault="00434512" w:rsidP="00B12D2F">
      <w:pPr>
        <w:pStyle w:val="ListParagraph"/>
        <w:numPr>
          <w:ilvl w:val="1"/>
          <w:numId w:val="1"/>
        </w:numPr>
        <w:ind w:left="0" w:firstLine="0"/>
        <w:jc w:val="both"/>
        <w:rPr>
          <w:rFonts w:asciiTheme="majorHAnsi" w:hAnsiTheme="majorHAnsi" w:cstheme="majorHAnsi"/>
          <w:sz w:val="24"/>
          <w:szCs w:val="24"/>
          <w:lang w:val="ro-MD"/>
        </w:rPr>
      </w:pPr>
      <w:r w:rsidRPr="00231547">
        <w:rPr>
          <w:rFonts w:asciiTheme="majorHAnsi" w:hAnsiTheme="majorHAnsi" w:cstheme="majorHAnsi"/>
          <w:sz w:val="24"/>
          <w:szCs w:val="24"/>
          <w:shd w:val="clear" w:color="auto" w:fill="FFFFFF"/>
          <w:lang w:val="ro-MD"/>
        </w:rPr>
        <w:t>În lipsa unor reglementări exhaustive privind procurarea și limitarea decontării produselor protocolare, în special a băuturilor alcoolice (inclusiv cu s</w:t>
      </w:r>
      <w:r w:rsidR="00F03D72" w:rsidRPr="00231547">
        <w:rPr>
          <w:rFonts w:asciiTheme="majorHAnsi" w:hAnsiTheme="majorHAnsi" w:cstheme="majorHAnsi"/>
          <w:sz w:val="24"/>
          <w:szCs w:val="24"/>
          <w:shd w:val="clear" w:color="auto" w:fill="FFFFFF"/>
          <w:lang w:val="ro-MD"/>
        </w:rPr>
        <w:t xml:space="preserve">cop de promovare), la grupa de conturi 333 </w:t>
      </w:r>
      <w:r w:rsidR="00CA7866" w:rsidRPr="00231547">
        <w:rPr>
          <w:rFonts w:asciiTheme="majorHAnsi" w:hAnsiTheme="majorHAnsi" w:cstheme="majorHAnsi"/>
          <w:sz w:val="24"/>
          <w:szCs w:val="24"/>
          <w:shd w:val="clear" w:color="auto" w:fill="FFFFFF"/>
          <w:lang w:val="ro-MD"/>
        </w:rPr>
        <w:t>„</w:t>
      </w:r>
      <w:r w:rsidRPr="00231547">
        <w:rPr>
          <w:rFonts w:asciiTheme="majorHAnsi" w:hAnsiTheme="majorHAnsi" w:cstheme="majorHAnsi"/>
          <w:sz w:val="24"/>
          <w:szCs w:val="24"/>
          <w:shd w:val="clear" w:color="auto" w:fill="FFFFFF"/>
          <w:lang w:val="ro-MD"/>
        </w:rPr>
        <w:t>Produse alimentare”</w:t>
      </w:r>
      <w:r w:rsidR="00932848" w:rsidRPr="00231547">
        <w:rPr>
          <w:rFonts w:asciiTheme="majorHAnsi" w:hAnsiTheme="majorHAnsi" w:cstheme="majorHAnsi"/>
          <w:sz w:val="24"/>
          <w:szCs w:val="24"/>
          <w:shd w:val="clear" w:color="auto" w:fill="FFFFFF"/>
          <w:lang w:val="ro-MD"/>
        </w:rPr>
        <w:t>,</w:t>
      </w:r>
      <w:r w:rsidRPr="00231547">
        <w:rPr>
          <w:rFonts w:asciiTheme="majorHAnsi" w:hAnsiTheme="majorHAnsi" w:cstheme="majorHAnsi"/>
          <w:sz w:val="24"/>
          <w:szCs w:val="24"/>
          <w:shd w:val="clear" w:color="auto" w:fill="FFFFFF"/>
          <w:lang w:val="ro-MD"/>
        </w:rPr>
        <w:t xml:space="preserve"> în anul 2020 misiunile diplomatice și oficiile consulare au procurat 7225 sticle de </w:t>
      </w:r>
      <w:r w:rsidR="00A37903" w:rsidRPr="00231547">
        <w:rPr>
          <w:rFonts w:asciiTheme="majorHAnsi" w:hAnsiTheme="majorHAnsi" w:cstheme="majorHAnsi"/>
          <w:sz w:val="24"/>
          <w:szCs w:val="24"/>
          <w:shd w:val="clear" w:color="auto" w:fill="FFFFFF"/>
          <w:lang w:val="ro-MD"/>
        </w:rPr>
        <w:t>băuturi alcoolice în sumă de 0,8 mil.</w:t>
      </w:r>
      <w:r w:rsidRPr="00231547">
        <w:rPr>
          <w:rFonts w:asciiTheme="majorHAnsi" w:hAnsiTheme="majorHAnsi" w:cstheme="majorHAnsi"/>
          <w:sz w:val="24"/>
          <w:szCs w:val="24"/>
          <w:shd w:val="clear" w:color="auto" w:fill="FFFFFF"/>
          <w:lang w:val="ro-MD"/>
        </w:rPr>
        <w:t xml:space="preserve"> lei, din care au fost utilizate 5555 </w:t>
      </w:r>
      <w:r w:rsidR="002009EF" w:rsidRPr="00231547">
        <w:rPr>
          <w:rFonts w:asciiTheme="majorHAnsi" w:hAnsiTheme="majorHAnsi" w:cstheme="majorHAnsi"/>
          <w:sz w:val="24"/>
          <w:szCs w:val="24"/>
          <w:shd w:val="clear" w:color="auto" w:fill="FFFFFF"/>
          <w:lang w:val="ro-MD"/>
        </w:rPr>
        <w:t xml:space="preserve">de </w:t>
      </w:r>
      <w:r w:rsidR="00A37903" w:rsidRPr="00231547">
        <w:rPr>
          <w:rFonts w:asciiTheme="majorHAnsi" w:hAnsiTheme="majorHAnsi" w:cstheme="majorHAnsi"/>
          <w:sz w:val="24"/>
          <w:szCs w:val="24"/>
          <w:shd w:val="clear" w:color="auto" w:fill="FFFFFF"/>
          <w:lang w:val="ro-MD"/>
        </w:rPr>
        <w:t>sticle în sumă de 0,7 mil.</w:t>
      </w:r>
      <w:r w:rsidRPr="00231547">
        <w:rPr>
          <w:rFonts w:asciiTheme="majorHAnsi" w:hAnsiTheme="majorHAnsi" w:cstheme="majorHAnsi"/>
          <w:sz w:val="24"/>
          <w:szCs w:val="24"/>
          <w:shd w:val="clear" w:color="auto" w:fill="FFFFFF"/>
          <w:lang w:val="ro-MD"/>
        </w:rPr>
        <w:t xml:space="preserve"> lei, formând stocuri de 5890 </w:t>
      </w:r>
      <w:r w:rsidR="002009EF" w:rsidRPr="00231547">
        <w:rPr>
          <w:rFonts w:asciiTheme="majorHAnsi" w:hAnsiTheme="majorHAnsi" w:cstheme="majorHAnsi"/>
          <w:sz w:val="24"/>
          <w:szCs w:val="24"/>
          <w:shd w:val="clear" w:color="auto" w:fill="FFFFFF"/>
          <w:lang w:val="ro-MD"/>
        </w:rPr>
        <w:t xml:space="preserve">de </w:t>
      </w:r>
      <w:r w:rsidRPr="00231547">
        <w:rPr>
          <w:rFonts w:asciiTheme="majorHAnsi" w:hAnsiTheme="majorHAnsi" w:cstheme="majorHAnsi"/>
          <w:sz w:val="24"/>
          <w:szCs w:val="24"/>
          <w:shd w:val="clear" w:color="auto" w:fill="FFFFFF"/>
          <w:lang w:val="ro-MD"/>
        </w:rPr>
        <w:t>s</w:t>
      </w:r>
      <w:r w:rsidR="00F971E5" w:rsidRPr="00231547">
        <w:rPr>
          <w:rFonts w:asciiTheme="majorHAnsi" w:hAnsiTheme="majorHAnsi" w:cstheme="majorHAnsi"/>
          <w:sz w:val="24"/>
          <w:szCs w:val="24"/>
          <w:shd w:val="clear" w:color="auto" w:fill="FFFFFF"/>
          <w:lang w:val="ro-MD"/>
        </w:rPr>
        <w:t xml:space="preserve">ticle în sumă </w:t>
      </w:r>
      <w:r w:rsidR="00A37903" w:rsidRPr="00231547">
        <w:rPr>
          <w:rFonts w:asciiTheme="majorHAnsi" w:hAnsiTheme="majorHAnsi" w:cstheme="majorHAnsi"/>
          <w:sz w:val="24"/>
          <w:szCs w:val="24"/>
          <w:shd w:val="clear" w:color="auto" w:fill="FFFFFF"/>
          <w:lang w:val="ro-MD"/>
        </w:rPr>
        <w:t>de 0,6 mil.</w:t>
      </w:r>
      <w:r w:rsidR="00F971E5" w:rsidRPr="00231547">
        <w:rPr>
          <w:rFonts w:asciiTheme="majorHAnsi" w:hAnsiTheme="majorHAnsi" w:cstheme="majorHAnsi"/>
          <w:sz w:val="24"/>
          <w:szCs w:val="24"/>
          <w:shd w:val="clear" w:color="auto" w:fill="FFFFFF"/>
          <w:lang w:val="ro-MD"/>
        </w:rPr>
        <w:t xml:space="preserve"> lei, iar în anul 2020,</w:t>
      </w:r>
      <w:r w:rsidRPr="00231547">
        <w:rPr>
          <w:rFonts w:asciiTheme="majorHAnsi" w:hAnsiTheme="majorHAnsi" w:cstheme="majorHAnsi"/>
          <w:sz w:val="24"/>
          <w:szCs w:val="24"/>
          <w:shd w:val="clear" w:color="auto" w:fill="FFFFFF"/>
          <w:lang w:val="ro-MD"/>
        </w:rPr>
        <w:t xml:space="preserve"> 8 entități au utilizat de la 220 până la 590 </w:t>
      </w:r>
      <w:r w:rsidR="002009EF" w:rsidRPr="00231547">
        <w:rPr>
          <w:rFonts w:asciiTheme="majorHAnsi" w:hAnsiTheme="majorHAnsi" w:cstheme="majorHAnsi"/>
          <w:sz w:val="24"/>
          <w:szCs w:val="24"/>
          <w:shd w:val="clear" w:color="auto" w:fill="FFFFFF"/>
          <w:lang w:val="ro-MD"/>
        </w:rPr>
        <w:t xml:space="preserve">de </w:t>
      </w:r>
      <w:r w:rsidRPr="00231547">
        <w:rPr>
          <w:rFonts w:asciiTheme="majorHAnsi" w:hAnsiTheme="majorHAnsi" w:cstheme="majorHAnsi"/>
          <w:sz w:val="24"/>
          <w:szCs w:val="24"/>
          <w:shd w:val="clear" w:color="auto" w:fill="FFFFFF"/>
          <w:lang w:val="ro-MD"/>
        </w:rPr>
        <w:t>sticl</w:t>
      </w:r>
      <w:r w:rsidR="00F971E5" w:rsidRPr="00231547">
        <w:rPr>
          <w:rFonts w:asciiTheme="majorHAnsi" w:hAnsiTheme="majorHAnsi" w:cstheme="majorHAnsi"/>
          <w:sz w:val="24"/>
          <w:szCs w:val="24"/>
          <w:shd w:val="clear" w:color="auto" w:fill="FFFFFF"/>
          <w:lang w:val="ro-MD"/>
        </w:rPr>
        <w:t>e.</w:t>
      </w:r>
    </w:p>
    <w:p w14:paraId="2E630092" w14:textId="21155F84" w:rsidR="00703789" w:rsidRPr="00231547" w:rsidRDefault="00D23F9D" w:rsidP="00703789">
      <w:pPr>
        <w:pStyle w:val="ListParagraph"/>
        <w:ind w:left="0"/>
        <w:jc w:val="both"/>
        <w:rPr>
          <w:rFonts w:asciiTheme="majorHAnsi" w:hAnsiTheme="majorHAnsi" w:cstheme="majorHAnsi"/>
          <w:sz w:val="24"/>
          <w:szCs w:val="24"/>
          <w:shd w:val="clear" w:color="auto" w:fill="FFFFFF"/>
          <w:lang w:val="ro-MD"/>
        </w:rPr>
      </w:pPr>
      <w:r w:rsidRPr="00231547">
        <w:rPr>
          <w:rFonts w:asciiTheme="majorHAnsi" w:hAnsiTheme="majorHAnsi" w:cstheme="majorHAnsi"/>
          <w:sz w:val="24"/>
          <w:szCs w:val="24"/>
          <w:shd w:val="clear" w:color="auto" w:fill="FFFFFF"/>
          <w:lang w:val="ro-MD"/>
        </w:rPr>
        <w:t xml:space="preserve">Verificările de audit </w:t>
      </w:r>
      <w:r w:rsidR="002009EF" w:rsidRPr="00231547">
        <w:rPr>
          <w:rFonts w:asciiTheme="majorHAnsi" w:hAnsiTheme="majorHAnsi" w:cstheme="majorHAnsi"/>
          <w:sz w:val="24"/>
          <w:szCs w:val="24"/>
          <w:shd w:val="clear" w:color="auto" w:fill="FFFFFF"/>
          <w:lang w:val="ro-MD"/>
        </w:rPr>
        <w:t xml:space="preserve">relevă </w:t>
      </w:r>
      <w:r w:rsidRPr="00231547">
        <w:rPr>
          <w:rFonts w:asciiTheme="majorHAnsi" w:hAnsiTheme="majorHAnsi" w:cstheme="majorHAnsi"/>
          <w:sz w:val="24"/>
          <w:szCs w:val="24"/>
          <w:shd w:val="clear" w:color="auto" w:fill="FFFFFF"/>
          <w:lang w:val="ro-MD"/>
        </w:rPr>
        <w:t>că 3 instituții</w:t>
      </w:r>
      <w:r w:rsidRPr="00231547">
        <w:rPr>
          <w:rFonts w:asciiTheme="majorHAnsi" w:hAnsiTheme="majorHAnsi" w:cstheme="majorHAnsi"/>
          <w:sz w:val="24"/>
          <w:szCs w:val="24"/>
          <w:shd w:val="clear" w:color="auto" w:fill="FFFFFF"/>
          <w:vertAlign w:val="superscript"/>
          <w:lang w:val="ro-MD"/>
        </w:rPr>
        <w:footnoteReference w:id="19"/>
      </w:r>
      <w:r w:rsidRPr="00231547">
        <w:rPr>
          <w:rFonts w:asciiTheme="majorHAnsi" w:hAnsiTheme="majorHAnsi" w:cstheme="majorHAnsi"/>
          <w:sz w:val="24"/>
          <w:szCs w:val="24"/>
          <w:shd w:val="clear" w:color="auto" w:fill="FFFFFF"/>
          <w:lang w:val="ro-MD"/>
        </w:rPr>
        <w:t xml:space="preserve"> din 7 verificate au întocmit decontarea produselor protocolare în lipsa unor documente adiționale care ar confirma utilizarea</w:t>
      </w:r>
      <w:r w:rsidR="002009EF" w:rsidRPr="00231547">
        <w:rPr>
          <w:rFonts w:asciiTheme="majorHAnsi" w:hAnsiTheme="majorHAnsi" w:cstheme="majorHAnsi"/>
          <w:sz w:val="24"/>
          <w:szCs w:val="24"/>
          <w:shd w:val="clear" w:color="auto" w:fill="FFFFFF"/>
          <w:lang w:val="ro-MD"/>
        </w:rPr>
        <w:t xml:space="preserve"> acestora</w:t>
      </w:r>
      <w:r w:rsidRPr="00231547">
        <w:rPr>
          <w:rFonts w:asciiTheme="majorHAnsi" w:hAnsiTheme="majorHAnsi" w:cstheme="majorHAnsi"/>
          <w:sz w:val="24"/>
          <w:szCs w:val="24"/>
          <w:shd w:val="clear" w:color="auto" w:fill="FFFFFF"/>
          <w:lang w:val="ro-MD"/>
        </w:rPr>
        <w:t>.</w:t>
      </w:r>
    </w:p>
    <w:p w14:paraId="4BFE216C" w14:textId="77777777" w:rsidR="00703789" w:rsidRPr="00231547" w:rsidRDefault="00703789" w:rsidP="00703789">
      <w:pPr>
        <w:pStyle w:val="ListParagraph"/>
        <w:ind w:left="0"/>
        <w:jc w:val="both"/>
        <w:rPr>
          <w:rFonts w:asciiTheme="majorHAnsi" w:hAnsiTheme="majorHAnsi" w:cstheme="majorHAnsi"/>
          <w:sz w:val="8"/>
          <w:szCs w:val="8"/>
          <w:shd w:val="clear" w:color="auto" w:fill="FFFFFF"/>
          <w:lang w:val="ro-MD"/>
        </w:rPr>
      </w:pPr>
    </w:p>
    <w:p w14:paraId="372D08A7" w14:textId="57E484F9" w:rsidR="00D42988" w:rsidRPr="00231547" w:rsidRDefault="00F91193" w:rsidP="00703789">
      <w:pPr>
        <w:pStyle w:val="ListParagraph"/>
        <w:numPr>
          <w:ilvl w:val="1"/>
          <w:numId w:val="1"/>
        </w:numPr>
        <w:ind w:left="0" w:firstLine="0"/>
        <w:jc w:val="both"/>
        <w:rPr>
          <w:rFonts w:asciiTheme="majorHAnsi" w:hAnsiTheme="majorHAnsi" w:cstheme="majorHAnsi"/>
          <w:sz w:val="24"/>
          <w:szCs w:val="24"/>
          <w:shd w:val="clear" w:color="auto" w:fill="FFFFFF"/>
          <w:lang w:val="ro-MD"/>
        </w:rPr>
      </w:pPr>
      <w:r w:rsidRPr="00231547">
        <w:rPr>
          <w:rFonts w:asciiTheme="majorHAnsi" w:eastAsiaTheme="minorHAnsi" w:hAnsiTheme="majorHAnsi" w:cstheme="majorHAnsi"/>
          <w:sz w:val="24"/>
          <w:szCs w:val="24"/>
          <w:lang w:val="ro-MD"/>
        </w:rPr>
        <w:t>Din total</w:t>
      </w:r>
      <w:r w:rsidR="002009EF" w:rsidRPr="00231547">
        <w:rPr>
          <w:rFonts w:asciiTheme="majorHAnsi" w:eastAsiaTheme="minorHAnsi" w:hAnsiTheme="majorHAnsi" w:cstheme="majorHAnsi"/>
          <w:sz w:val="24"/>
          <w:szCs w:val="24"/>
          <w:lang w:val="ro-MD"/>
        </w:rPr>
        <w:t>ul</w:t>
      </w:r>
      <w:r w:rsidRPr="00231547">
        <w:rPr>
          <w:rFonts w:asciiTheme="majorHAnsi" w:eastAsiaTheme="minorHAnsi" w:hAnsiTheme="majorHAnsi" w:cstheme="majorHAnsi"/>
          <w:sz w:val="24"/>
          <w:szCs w:val="24"/>
          <w:lang w:val="ro-MD"/>
        </w:rPr>
        <w:t xml:space="preserve"> de 51,7 mil. lei pentru reședința șefilor </w:t>
      </w:r>
      <w:r w:rsidR="00113B9B" w:rsidRPr="00231547">
        <w:rPr>
          <w:rFonts w:asciiTheme="majorHAnsi" w:eastAsiaTheme="minorHAnsi" w:hAnsiTheme="majorHAnsi" w:cstheme="majorHAnsi"/>
          <w:sz w:val="24"/>
          <w:szCs w:val="24"/>
          <w:lang w:val="ro-MD"/>
        </w:rPr>
        <w:t xml:space="preserve">de </w:t>
      </w:r>
      <w:r w:rsidRPr="00231547">
        <w:rPr>
          <w:rFonts w:asciiTheme="majorHAnsi" w:eastAsiaTheme="minorHAnsi" w:hAnsiTheme="majorHAnsi" w:cstheme="majorHAnsi"/>
          <w:sz w:val="24"/>
          <w:szCs w:val="24"/>
          <w:lang w:val="ro-MD"/>
        </w:rPr>
        <w:t>misiuni</w:t>
      </w:r>
      <w:r w:rsidR="00113B9B" w:rsidRPr="00231547">
        <w:rPr>
          <w:rFonts w:asciiTheme="majorHAnsi" w:eastAsiaTheme="minorHAnsi" w:hAnsiTheme="majorHAnsi" w:cstheme="majorHAnsi"/>
          <w:sz w:val="24"/>
          <w:szCs w:val="24"/>
          <w:lang w:val="ro-MD"/>
        </w:rPr>
        <w:t xml:space="preserve"> diplomatice,</w:t>
      </w:r>
      <w:r w:rsidRPr="00231547">
        <w:rPr>
          <w:rFonts w:asciiTheme="majorHAnsi" w:eastAsiaTheme="minorHAnsi" w:hAnsiTheme="majorHAnsi" w:cstheme="majorHAnsi"/>
          <w:sz w:val="24"/>
          <w:szCs w:val="24"/>
          <w:lang w:val="ro-MD"/>
        </w:rPr>
        <w:t xml:space="preserve"> au fost achitate 13,8 mil. lei, ce</w:t>
      </w:r>
      <w:r w:rsidR="00113B9B" w:rsidRPr="00231547">
        <w:rPr>
          <w:rFonts w:asciiTheme="majorHAnsi" w:eastAsiaTheme="minorHAnsi" w:hAnsiTheme="majorHAnsi" w:cstheme="majorHAnsi"/>
          <w:sz w:val="24"/>
          <w:szCs w:val="24"/>
          <w:lang w:val="ro-MD"/>
        </w:rPr>
        <w:t>ea ce</w:t>
      </w:r>
      <w:r w:rsidRPr="00231547">
        <w:rPr>
          <w:rFonts w:asciiTheme="majorHAnsi" w:eastAsiaTheme="minorHAnsi" w:hAnsiTheme="majorHAnsi" w:cstheme="majorHAnsi"/>
          <w:sz w:val="24"/>
          <w:szCs w:val="24"/>
          <w:lang w:val="ro-MD"/>
        </w:rPr>
        <w:t xml:space="preserve"> constituie 26,7% din suma totală achitată pentru locuințe</w:t>
      </w:r>
      <w:r w:rsidR="00113B9B" w:rsidRPr="00231547">
        <w:rPr>
          <w:rFonts w:asciiTheme="majorHAnsi" w:eastAsiaTheme="minorHAnsi" w:hAnsiTheme="majorHAnsi" w:cstheme="majorHAnsi"/>
          <w:sz w:val="24"/>
          <w:szCs w:val="24"/>
          <w:lang w:val="ro-MD"/>
        </w:rPr>
        <w:t>le</w:t>
      </w:r>
      <w:r w:rsidRPr="00231547">
        <w:rPr>
          <w:rFonts w:asciiTheme="majorHAnsi" w:eastAsiaTheme="minorHAnsi" w:hAnsiTheme="majorHAnsi" w:cstheme="majorHAnsi"/>
          <w:sz w:val="24"/>
          <w:szCs w:val="24"/>
          <w:lang w:val="ro-MD"/>
        </w:rPr>
        <w:t xml:space="preserve"> de serviciu. </w:t>
      </w:r>
      <w:r w:rsidR="007C5C5D" w:rsidRPr="00231547">
        <w:rPr>
          <w:rFonts w:asciiTheme="majorHAnsi" w:eastAsiaTheme="minorHAnsi" w:hAnsiTheme="majorHAnsi" w:cstheme="majorHAnsi"/>
          <w:sz w:val="24"/>
          <w:szCs w:val="24"/>
          <w:lang w:val="ro-MD"/>
        </w:rPr>
        <w:t>C</w:t>
      </w:r>
      <w:r w:rsidRPr="00231547">
        <w:rPr>
          <w:rFonts w:asciiTheme="majorHAnsi" w:eastAsiaTheme="minorHAnsi" w:hAnsiTheme="majorHAnsi" w:cstheme="majorHAnsi"/>
          <w:sz w:val="24"/>
          <w:szCs w:val="24"/>
          <w:lang w:val="ro-MD"/>
        </w:rPr>
        <w:t xml:space="preserve">adrul legal </w:t>
      </w:r>
      <w:r w:rsidR="00113B9B" w:rsidRPr="00231547">
        <w:rPr>
          <w:rFonts w:asciiTheme="majorHAnsi" w:eastAsiaTheme="minorHAnsi" w:hAnsiTheme="majorHAnsi" w:cstheme="majorHAnsi"/>
          <w:sz w:val="24"/>
          <w:szCs w:val="24"/>
          <w:lang w:val="ro-MD"/>
        </w:rPr>
        <w:t xml:space="preserve">prevede </w:t>
      </w:r>
      <w:r w:rsidRPr="00231547">
        <w:rPr>
          <w:rFonts w:asciiTheme="majorHAnsi" w:eastAsiaTheme="minorHAnsi" w:hAnsiTheme="majorHAnsi" w:cstheme="majorHAnsi"/>
          <w:sz w:val="24"/>
          <w:szCs w:val="24"/>
          <w:lang w:val="ro-MD"/>
        </w:rPr>
        <w:t>plafoane minime și maxime de chirie lunară a locuințe</w:t>
      </w:r>
      <w:r w:rsidR="00113B9B" w:rsidRPr="00231547">
        <w:rPr>
          <w:rFonts w:asciiTheme="majorHAnsi" w:eastAsiaTheme="minorHAnsi" w:hAnsiTheme="majorHAnsi" w:cstheme="majorHAnsi"/>
          <w:sz w:val="24"/>
          <w:szCs w:val="24"/>
          <w:lang w:val="ro-MD"/>
        </w:rPr>
        <w:t>lor</w:t>
      </w:r>
      <w:r w:rsidRPr="00231547">
        <w:rPr>
          <w:rFonts w:asciiTheme="majorHAnsi" w:eastAsiaTheme="minorHAnsi" w:hAnsiTheme="majorHAnsi" w:cstheme="majorHAnsi"/>
          <w:sz w:val="24"/>
          <w:szCs w:val="24"/>
          <w:lang w:val="ro-MD"/>
        </w:rPr>
        <w:t xml:space="preserve"> de serviciu</w:t>
      </w:r>
      <w:r w:rsidR="00113B9B" w:rsidRPr="00231547">
        <w:rPr>
          <w:rFonts w:asciiTheme="majorHAnsi" w:eastAsiaTheme="minorHAnsi" w:hAnsiTheme="majorHAnsi" w:cstheme="majorHAnsi"/>
          <w:sz w:val="24"/>
          <w:szCs w:val="24"/>
          <w:lang w:val="ro-MD"/>
        </w:rPr>
        <w:t>,</w:t>
      </w:r>
      <w:r w:rsidRPr="00231547">
        <w:rPr>
          <w:rFonts w:asciiTheme="majorHAnsi" w:eastAsiaTheme="minorHAnsi" w:hAnsiTheme="majorHAnsi" w:cstheme="majorHAnsi"/>
          <w:sz w:val="24"/>
          <w:szCs w:val="24"/>
          <w:lang w:val="ro-MD"/>
        </w:rPr>
        <w:t xml:space="preserve"> divizat</w:t>
      </w:r>
      <w:r w:rsidR="00113B9B" w:rsidRPr="00231547">
        <w:rPr>
          <w:rFonts w:asciiTheme="majorHAnsi" w:eastAsiaTheme="minorHAnsi" w:hAnsiTheme="majorHAnsi" w:cstheme="majorHAnsi"/>
          <w:sz w:val="24"/>
          <w:szCs w:val="24"/>
          <w:lang w:val="ro-MD"/>
        </w:rPr>
        <w:t>e</w:t>
      </w:r>
      <w:r w:rsidRPr="00231547">
        <w:rPr>
          <w:rFonts w:asciiTheme="majorHAnsi" w:eastAsiaTheme="minorHAnsi" w:hAnsiTheme="majorHAnsi" w:cstheme="majorHAnsi"/>
          <w:sz w:val="24"/>
          <w:szCs w:val="24"/>
          <w:lang w:val="ro-MD"/>
        </w:rPr>
        <w:t xml:space="preserve"> </w:t>
      </w:r>
      <w:r w:rsidR="007C5C5D" w:rsidRPr="00231547">
        <w:rPr>
          <w:rFonts w:asciiTheme="majorHAnsi" w:eastAsiaTheme="minorHAnsi" w:hAnsiTheme="majorHAnsi" w:cstheme="majorHAnsi"/>
          <w:sz w:val="24"/>
          <w:szCs w:val="24"/>
          <w:lang w:val="ro-MD"/>
        </w:rPr>
        <w:t>pe 4 categorii de orașe, fiind</w:t>
      </w:r>
      <w:r w:rsidRPr="00231547">
        <w:rPr>
          <w:rFonts w:asciiTheme="majorHAnsi" w:eastAsiaTheme="minorHAnsi" w:hAnsiTheme="majorHAnsi" w:cstheme="majorHAnsi"/>
          <w:sz w:val="24"/>
          <w:szCs w:val="24"/>
          <w:lang w:val="ro-MD"/>
        </w:rPr>
        <w:t xml:space="preserve"> stabilite plafoane pentru funcții diferite, ce</w:t>
      </w:r>
      <w:r w:rsidR="007C5C5D" w:rsidRPr="00231547">
        <w:rPr>
          <w:rFonts w:asciiTheme="majorHAnsi" w:eastAsiaTheme="minorHAnsi" w:hAnsiTheme="majorHAnsi" w:cstheme="majorHAnsi"/>
          <w:sz w:val="24"/>
          <w:szCs w:val="24"/>
          <w:lang w:val="ro-MD"/>
        </w:rPr>
        <w:t>l mai mare plafon fiind</w:t>
      </w:r>
      <w:r w:rsidRPr="00231547">
        <w:rPr>
          <w:rFonts w:asciiTheme="majorHAnsi" w:eastAsiaTheme="minorHAnsi" w:hAnsiTheme="majorHAnsi" w:cstheme="majorHAnsi"/>
          <w:sz w:val="24"/>
          <w:szCs w:val="24"/>
          <w:lang w:val="ro-MD"/>
        </w:rPr>
        <w:t xml:space="preserve"> pentru ambasador,</w:t>
      </w:r>
      <w:r w:rsidR="007C5C5D" w:rsidRPr="00231547">
        <w:rPr>
          <w:rFonts w:asciiTheme="majorHAnsi" w:eastAsiaTheme="minorHAnsi" w:hAnsiTheme="majorHAnsi" w:cstheme="majorHAnsi"/>
          <w:sz w:val="24"/>
          <w:szCs w:val="24"/>
          <w:lang w:val="ro-MD"/>
        </w:rPr>
        <w:t xml:space="preserve"> care dispun</w:t>
      </w:r>
      <w:r w:rsidR="00113B9B" w:rsidRPr="00231547">
        <w:rPr>
          <w:rFonts w:asciiTheme="majorHAnsi" w:eastAsiaTheme="minorHAnsi" w:hAnsiTheme="majorHAnsi" w:cstheme="majorHAnsi"/>
          <w:sz w:val="24"/>
          <w:szCs w:val="24"/>
          <w:lang w:val="ro-MD"/>
        </w:rPr>
        <w:t>e</w:t>
      </w:r>
      <w:r w:rsidR="007C5C5D" w:rsidRPr="00231547">
        <w:rPr>
          <w:rFonts w:asciiTheme="majorHAnsi" w:eastAsiaTheme="minorHAnsi" w:hAnsiTheme="majorHAnsi" w:cstheme="majorHAnsi"/>
          <w:sz w:val="24"/>
          <w:szCs w:val="24"/>
          <w:lang w:val="ro-MD"/>
        </w:rPr>
        <w:t xml:space="preserve"> și de prevederea, inclusiv cu depășirea de 30 la sută. Astfel, </w:t>
      </w:r>
      <w:r w:rsidRPr="00231547">
        <w:rPr>
          <w:rFonts w:asciiTheme="majorHAnsi" w:eastAsiaTheme="minorHAnsi" w:hAnsiTheme="majorHAnsi" w:cstheme="majorHAnsi"/>
          <w:sz w:val="24"/>
          <w:szCs w:val="24"/>
          <w:lang w:val="ro-MD"/>
        </w:rPr>
        <w:t xml:space="preserve">se </w:t>
      </w:r>
      <w:r w:rsidRPr="00231547">
        <w:rPr>
          <w:rFonts w:asciiTheme="majorHAnsi" w:eastAsiaTheme="minorHAnsi" w:hAnsiTheme="majorHAnsi" w:cstheme="majorHAnsi"/>
          <w:sz w:val="24"/>
          <w:szCs w:val="24"/>
          <w:lang w:val="ro-MD"/>
        </w:rPr>
        <w:lastRenderedPageBreak/>
        <w:t>constată că</w:t>
      </w:r>
      <w:r w:rsidR="00A774BA">
        <w:rPr>
          <w:rFonts w:asciiTheme="majorHAnsi" w:eastAsiaTheme="minorHAnsi" w:hAnsiTheme="majorHAnsi" w:cstheme="majorHAnsi"/>
          <w:sz w:val="24"/>
          <w:szCs w:val="24"/>
          <w:lang w:val="ro-MD"/>
        </w:rPr>
        <w:t>,</w:t>
      </w:r>
      <w:r w:rsidRPr="00231547">
        <w:rPr>
          <w:rFonts w:asciiTheme="majorHAnsi" w:eastAsiaTheme="minorHAnsi" w:hAnsiTheme="majorHAnsi" w:cstheme="majorHAnsi"/>
          <w:sz w:val="24"/>
          <w:szCs w:val="24"/>
          <w:lang w:val="ro-MD"/>
        </w:rPr>
        <w:t xml:space="preserve"> 7 misiuni</w:t>
      </w:r>
      <w:r w:rsidRPr="00231547">
        <w:rPr>
          <w:rFonts w:asciiTheme="majorHAnsi" w:eastAsiaTheme="minorHAnsi" w:hAnsiTheme="majorHAnsi" w:cstheme="majorHAnsi"/>
          <w:sz w:val="24"/>
          <w:szCs w:val="24"/>
          <w:vertAlign w:val="superscript"/>
          <w:lang w:val="ro-MD"/>
        </w:rPr>
        <w:footnoteReference w:id="20"/>
      </w:r>
      <w:r w:rsidRPr="00231547">
        <w:rPr>
          <w:rFonts w:asciiTheme="majorHAnsi" w:eastAsiaTheme="minorHAnsi" w:hAnsiTheme="majorHAnsi" w:cstheme="majorHAnsi"/>
          <w:sz w:val="24"/>
          <w:szCs w:val="24"/>
          <w:lang w:val="ro-MD"/>
        </w:rPr>
        <w:t xml:space="preserve"> au încheiat contracte </w:t>
      </w:r>
      <w:r w:rsidR="00A37903" w:rsidRPr="00231547">
        <w:rPr>
          <w:rFonts w:asciiTheme="majorHAnsi" w:eastAsiaTheme="minorHAnsi" w:hAnsiTheme="majorHAnsi" w:cstheme="majorHAnsi"/>
          <w:sz w:val="24"/>
          <w:szCs w:val="24"/>
          <w:lang w:val="ro-MD"/>
        </w:rPr>
        <w:t>la limita maxim stabilită, iar 8</w:t>
      </w:r>
      <w:r w:rsidRPr="00231547">
        <w:rPr>
          <w:rFonts w:asciiTheme="majorHAnsi" w:eastAsiaTheme="minorHAnsi" w:hAnsiTheme="majorHAnsi" w:cstheme="majorHAnsi"/>
          <w:sz w:val="24"/>
          <w:szCs w:val="24"/>
          <w:lang w:val="ro-MD"/>
        </w:rPr>
        <w:t xml:space="preserve"> misiuni</w:t>
      </w:r>
      <w:r w:rsidRPr="00231547">
        <w:rPr>
          <w:rFonts w:asciiTheme="majorHAnsi" w:eastAsiaTheme="minorHAnsi" w:hAnsiTheme="majorHAnsi" w:cstheme="majorHAnsi"/>
          <w:sz w:val="24"/>
          <w:szCs w:val="24"/>
          <w:vertAlign w:val="superscript"/>
          <w:lang w:val="ro-MD"/>
        </w:rPr>
        <w:footnoteReference w:id="21"/>
      </w:r>
      <w:r w:rsidR="007C5C5D" w:rsidRPr="00231547">
        <w:rPr>
          <w:rFonts w:asciiTheme="majorHAnsi" w:eastAsiaTheme="minorHAnsi" w:hAnsiTheme="majorHAnsi" w:cstheme="majorHAnsi"/>
          <w:sz w:val="24"/>
          <w:szCs w:val="24"/>
          <w:lang w:val="ro-MD"/>
        </w:rPr>
        <w:t xml:space="preserve"> </w:t>
      </w:r>
      <w:r w:rsidR="00113B9B" w:rsidRPr="00231547">
        <w:rPr>
          <w:rFonts w:asciiTheme="majorHAnsi" w:hAnsiTheme="majorHAnsi" w:cstheme="majorHAnsi"/>
          <w:sz w:val="24"/>
          <w:szCs w:val="24"/>
          <w:lang w:val="ro-MD"/>
        </w:rPr>
        <w:t xml:space="preserve">– </w:t>
      </w:r>
      <w:r w:rsidR="007C5C5D" w:rsidRPr="00231547">
        <w:rPr>
          <w:rFonts w:asciiTheme="majorHAnsi" w:eastAsiaTheme="minorHAnsi" w:hAnsiTheme="majorHAnsi" w:cstheme="majorHAnsi"/>
          <w:sz w:val="24"/>
          <w:szCs w:val="24"/>
          <w:lang w:val="ro-MD"/>
        </w:rPr>
        <w:t>la plafonul permis de cadrul legal cu</w:t>
      </w:r>
      <w:r w:rsidRPr="00231547">
        <w:rPr>
          <w:rFonts w:asciiTheme="majorHAnsi" w:eastAsiaTheme="minorHAnsi" w:hAnsiTheme="majorHAnsi" w:cstheme="majorHAnsi"/>
          <w:sz w:val="24"/>
          <w:szCs w:val="24"/>
          <w:lang w:val="ro-MD"/>
        </w:rPr>
        <w:t xml:space="preserve"> 30 la sută</w:t>
      </w:r>
      <w:r w:rsidR="007C5C5D" w:rsidRPr="00231547">
        <w:rPr>
          <w:rFonts w:asciiTheme="majorHAnsi" w:eastAsiaTheme="minorHAnsi" w:hAnsiTheme="majorHAnsi" w:cstheme="majorHAnsi"/>
          <w:sz w:val="24"/>
          <w:szCs w:val="24"/>
          <w:lang w:val="ro-MD"/>
        </w:rPr>
        <w:t xml:space="preserve"> peste limita maximă. </w:t>
      </w:r>
    </w:p>
    <w:p w14:paraId="1CB9319C" w14:textId="77777777" w:rsidR="00703789" w:rsidRPr="00231547" w:rsidRDefault="00703789" w:rsidP="00703789">
      <w:pPr>
        <w:pStyle w:val="ListParagraph"/>
        <w:spacing w:before="240"/>
        <w:ind w:left="0"/>
        <w:jc w:val="both"/>
        <w:rPr>
          <w:rFonts w:asciiTheme="majorHAnsi" w:eastAsiaTheme="minorHAnsi" w:hAnsiTheme="majorHAnsi" w:cstheme="majorHAnsi"/>
          <w:sz w:val="8"/>
          <w:szCs w:val="8"/>
          <w:lang w:val="ro-MD"/>
        </w:rPr>
      </w:pPr>
    </w:p>
    <w:p w14:paraId="666D8B00" w14:textId="4F1F04FE" w:rsidR="00BC7CBC" w:rsidRPr="00231547" w:rsidRDefault="00BC7CBC" w:rsidP="002030A1">
      <w:pPr>
        <w:pStyle w:val="ListParagraph"/>
        <w:numPr>
          <w:ilvl w:val="1"/>
          <w:numId w:val="1"/>
        </w:numPr>
        <w:spacing w:before="240"/>
        <w:ind w:left="0" w:firstLine="0"/>
        <w:jc w:val="both"/>
        <w:rPr>
          <w:rFonts w:asciiTheme="majorHAnsi" w:eastAsiaTheme="minorHAnsi" w:hAnsiTheme="majorHAnsi" w:cstheme="majorHAnsi"/>
          <w:sz w:val="24"/>
          <w:szCs w:val="24"/>
          <w:lang w:val="ro-MD"/>
        </w:rPr>
      </w:pPr>
      <w:r w:rsidRPr="00231547">
        <w:rPr>
          <w:rFonts w:asciiTheme="majorHAnsi" w:eastAsiaTheme="minorHAnsi" w:hAnsiTheme="majorHAnsi" w:cstheme="majorHAnsi"/>
          <w:sz w:val="24"/>
          <w:szCs w:val="24"/>
          <w:lang w:val="ro-MD"/>
        </w:rPr>
        <w:t>Conform cadrului legal</w:t>
      </w:r>
      <w:r w:rsidRPr="00231547">
        <w:rPr>
          <w:rFonts w:asciiTheme="majorHAnsi" w:eastAsiaTheme="minorHAnsi" w:hAnsiTheme="majorHAnsi" w:cstheme="majorHAnsi"/>
          <w:sz w:val="24"/>
          <w:szCs w:val="24"/>
          <w:vertAlign w:val="superscript"/>
          <w:lang w:val="ro-MD"/>
        </w:rPr>
        <w:footnoteReference w:id="22"/>
      </w:r>
      <w:r w:rsidRPr="00231547">
        <w:rPr>
          <w:rFonts w:asciiTheme="majorHAnsi" w:eastAsiaTheme="minorHAnsi" w:hAnsiTheme="majorHAnsi" w:cstheme="majorHAnsi"/>
          <w:sz w:val="24"/>
          <w:szCs w:val="24"/>
          <w:lang w:val="ro-MD"/>
        </w:rPr>
        <w:t xml:space="preserve">, la încheierea contractelor de închiriere a spațiului administrativ și </w:t>
      </w:r>
      <w:r w:rsidR="00113B9B" w:rsidRPr="00231547">
        <w:rPr>
          <w:rFonts w:asciiTheme="majorHAnsi" w:eastAsiaTheme="minorHAnsi" w:hAnsiTheme="majorHAnsi" w:cstheme="majorHAnsi"/>
          <w:sz w:val="24"/>
          <w:szCs w:val="24"/>
          <w:lang w:val="ro-MD"/>
        </w:rPr>
        <w:t xml:space="preserve">a </w:t>
      </w:r>
      <w:r w:rsidRPr="00231547">
        <w:rPr>
          <w:rFonts w:asciiTheme="majorHAnsi" w:eastAsiaTheme="minorHAnsi" w:hAnsiTheme="majorHAnsi" w:cstheme="majorHAnsi"/>
          <w:sz w:val="24"/>
          <w:szCs w:val="24"/>
          <w:lang w:val="ro-MD"/>
        </w:rPr>
        <w:t xml:space="preserve">locuinței de serviciu, în mod obligatoriu se indică suprafața, suma pentru chiria spațiului, pe garanție (cauțiune) </w:t>
      </w:r>
      <w:proofErr w:type="spellStart"/>
      <w:r w:rsidRPr="00231547">
        <w:rPr>
          <w:rFonts w:asciiTheme="majorHAnsi" w:eastAsiaTheme="minorHAnsi" w:hAnsiTheme="majorHAnsi" w:cstheme="majorHAnsi"/>
          <w:sz w:val="24"/>
          <w:szCs w:val="24"/>
          <w:lang w:val="ro-MD"/>
        </w:rPr>
        <w:t>şi</w:t>
      </w:r>
      <w:proofErr w:type="spellEnd"/>
      <w:r w:rsidRPr="00231547">
        <w:rPr>
          <w:rFonts w:asciiTheme="majorHAnsi" w:eastAsiaTheme="minorHAnsi" w:hAnsiTheme="majorHAnsi" w:cstheme="majorHAnsi"/>
          <w:sz w:val="24"/>
          <w:szCs w:val="24"/>
          <w:lang w:val="ro-MD"/>
        </w:rPr>
        <w:t xml:space="preserve">, separat, suma plății pentru deservirea blocului, deservirea instalațiilor din apartamente </w:t>
      </w:r>
      <w:proofErr w:type="spellStart"/>
      <w:r w:rsidRPr="00231547">
        <w:rPr>
          <w:rFonts w:asciiTheme="majorHAnsi" w:eastAsiaTheme="minorHAnsi" w:hAnsiTheme="majorHAnsi" w:cstheme="majorHAnsi"/>
          <w:sz w:val="24"/>
          <w:szCs w:val="24"/>
          <w:lang w:val="ro-MD"/>
        </w:rPr>
        <w:t>şi</w:t>
      </w:r>
      <w:proofErr w:type="spellEnd"/>
      <w:r w:rsidRPr="00231547">
        <w:rPr>
          <w:rFonts w:asciiTheme="majorHAnsi" w:eastAsiaTheme="minorHAnsi" w:hAnsiTheme="majorHAnsi" w:cstheme="majorHAnsi"/>
          <w:sz w:val="24"/>
          <w:szCs w:val="24"/>
          <w:lang w:val="ro-MD"/>
        </w:rPr>
        <w:t xml:space="preserve"> alte cheltuieli. </w:t>
      </w:r>
    </w:p>
    <w:p w14:paraId="61D6FD63" w14:textId="46D995B9" w:rsidR="00F971E5" w:rsidRPr="00231547" w:rsidRDefault="00F971E5" w:rsidP="00F971E5">
      <w:pPr>
        <w:jc w:val="both"/>
        <w:rPr>
          <w:rFonts w:asciiTheme="majorHAnsi" w:eastAsiaTheme="minorHAnsi" w:hAnsiTheme="majorHAnsi" w:cstheme="majorHAnsi"/>
          <w:sz w:val="24"/>
          <w:szCs w:val="24"/>
          <w:lang w:val="ro-MD"/>
        </w:rPr>
      </w:pPr>
      <w:r w:rsidRPr="00231547">
        <w:rPr>
          <w:rFonts w:asciiTheme="majorHAnsi" w:eastAsiaTheme="minorHAnsi" w:hAnsiTheme="majorHAnsi" w:cstheme="majorHAnsi"/>
          <w:sz w:val="24"/>
          <w:szCs w:val="24"/>
          <w:lang w:val="ro-MD"/>
        </w:rPr>
        <w:t>Audit</w:t>
      </w:r>
      <w:r w:rsidR="00502F35" w:rsidRPr="00231547">
        <w:rPr>
          <w:rFonts w:asciiTheme="majorHAnsi" w:eastAsiaTheme="minorHAnsi" w:hAnsiTheme="majorHAnsi" w:cstheme="majorHAnsi"/>
          <w:sz w:val="24"/>
          <w:szCs w:val="24"/>
          <w:lang w:val="ro-MD"/>
        </w:rPr>
        <w:t>ul</w:t>
      </w:r>
      <w:r w:rsidRPr="00231547">
        <w:rPr>
          <w:rFonts w:asciiTheme="majorHAnsi" w:eastAsiaTheme="minorHAnsi" w:hAnsiTheme="majorHAnsi" w:cstheme="majorHAnsi"/>
          <w:sz w:val="24"/>
          <w:szCs w:val="24"/>
          <w:lang w:val="ro-MD"/>
        </w:rPr>
        <w:t xml:space="preserve"> constată că 7 misiuni diplomatice și oficii consulare</w:t>
      </w:r>
      <w:r w:rsidRPr="00231547">
        <w:rPr>
          <w:rFonts w:asciiTheme="majorHAnsi" w:eastAsiaTheme="minorHAnsi" w:hAnsiTheme="majorHAnsi" w:cstheme="majorHAnsi"/>
          <w:sz w:val="24"/>
          <w:szCs w:val="24"/>
          <w:vertAlign w:val="superscript"/>
          <w:lang w:val="ro-MD"/>
        </w:rPr>
        <w:footnoteReference w:id="23"/>
      </w:r>
      <w:r w:rsidR="00F92F03" w:rsidRPr="00231547">
        <w:rPr>
          <w:rFonts w:asciiTheme="majorHAnsi" w:eastAsiaTheme="minorHAnsi" w:hAnsiTheme="majorHAnsi" w:cstheme="majorHAnsi"/>
          <w:sz w:val="24"/>
          <w:szCs w:val="24"/>
          <w:lang w:val="ro-MD"/>
        </w:rPr>
        <w:t xml:space="preserve"> au întocmit </w:t>
      </w:r>
      <w:r w:rsidRPr="00231547">
        <w:rPr>
          <w:rFonts w:asciiTheme="majorHAnsi" w:eastAsiaTheme="minorHAnsi" w:hAnsiTheme="majorHAnsi" w:cstheme="majorHAnsi"/>
          <w:sz w:val="24"/>
          <w:szCs w:val="24"/>
          <w:lang w:val="ro-MD"/>
        </w:rPr>
        <w:t>contractele de închiriere a reședințelor, nefiind indicat</w:t>
      </w:r>
      <w:r w:rsidR="00113B9B" w:rsidRPr="00231547">
        <w:rPr>
          <w:rFonts w:asciiTheme="majorHAnsi" w:eastAsiaTheme="minorHAnsi" w:hAnsiTheme="majorHAnsi" w:cstheme="majorHAnsi"/>
          <w:sz w:val="24"/>
          <w:szCs w:val="24"/>
          <w:lang w:val="ro-MD"/>
        </w:rPr>
        <w:t>ă</w:t>
      </w:r>
      <w:r w:rsidRPr="00231547">
        <w:rPr>
          <w:rFonts w:asciiTheme="majorHAnsi" w:eastAsiaTheme="minorHAnsi" w:hAnsiTheme="majorHAnsi" w:cstheme="majorHAnsi"/>
          <w:sz w:val="24"/>
          <w:szCs w:val="24"/>
          <w:lang w:val="ro-MD"/>
        </w:rPr>
        <w:t xml:space="preserve"> în contract suprafața închiriată, situație în care auditul este în imposibilitate de a estima cheltuielile suportate de </w:t>
      </w:r>
      <w:r w:rsidR="00113B9B" w:rsidRPr="00231547">
        <w:rPr>
          <w:rFonts w:asciiTheme="majorHAnsi" w:eastAsiaTheme="minorHAnsi" w:hAnsiTheme="majorHAnsi" w:cstheme="majorHAnsi"/>
          <w:sz w:val="24"/>
          <w:szCs w:val="24"/>
          <w:lang w:val="ro-MD"/>
        </w:rPr>
        <w:t>misiunile diplomatice și oficiile consulare</w:t>
      </w:r>
      <w:r w:rsidRPr="00231547">
        <w:rPr>
          <w:rFonts w:asciiTheme="majorHAnsi" w:eastAsiaTheme="minorHAnsi" w:hAnsiTheme="majorHAnsi" w:cstheme="majorHAnsi"/>
          <w:sz w:val="24"/>
          <w:szCs w:val="24"/>
          <w:lang w:val="ro-MD"/>
        </w:rPr>
        <w:t xml:space="preserve"> analizate prin prisma corelării costurilor raportate la suprafață (cost/eficiență). Ulterior, pentru 4 misiuni</w:t>
      </w:r>
      <w:r w:rsidRPr="00231547">
        <w:rPr>
          <w:rFonts w:asciiTheme="majorHAnsi" w:eastAsiaTheme="minorHAnsi" w:hAnsiTheme="majorHAnsi" w:cstheme="majorHAnsi"/>
          <w:sz w:val="24"/>
          <w:szCs w:val="24"/>
          <w:vertAlign w:val="superscript"/>
          <w:lang w:val="ro-MD"/>
        </w:rPr>
        <w:footnoteReference w:id="24"/>
      </w:r>
      <w:r w:rsidR="00113B9B" w:rsidRPr="00231547">
        <w:rPr>
          <w:rFonts w:asciiTheme="majorHAnsi" w:eastAsiaTheme="minorHAnsi" w:hAnsiTheme="majorHAnsi" w:cstheme="majorHAnsi"/>
          <w:sz w:val="24"/>
          <w:szCs w:val="24"/>
          <w:lang w:val="ro-MD"/>
        </w:rPr>
        <w:t>,</w:t>
      </w:r>
      <w:r w:rsidRPr="00231547">
        <w:rPr>
          <w:rFonts w:asciiTheme="majorHAnsi" w:eastAsiaTheme="minorHAnsi" w:hAnsiTheme="majorHAnsi" w:cstheme="majorHAnsi"/>
          <w:sz w:val="24"/>
          <w:szCs w:val="24"/>
          <w:lang w:val="ro-MD"/>
        </w:rPr>
        <w:t xml:space="preserve"> auditului i-au fost prezentate documente suplimentare care atestă suprafața închiriată.</w:t>
      </w:r>
    </w:p>
    <w:p w14:paraId="73F16EF4" w14:textId="30393D84" w:rsidR="00F971E5" w:rsidRPr="00231547" w:rsidRDefault="00F971E5" w:rsidP="00F971E5">
      <w:pPr>
        <w:jc w:val="both"/>
        <w:rPr>
          <w:rFonts w:asciiTheme="majorHAnsi" w:eastAsiaTheme="minorHAnsi" w:hAnsiTheme="majorHAnsi" w:cstheme="majorHAnsi"/>
          <w:sz w:val="24"/>
          <w:szCs w:val="24"/>
          <w:lang w:val="ro-MD"/>
        </w:rPr>
      </w:pPr>
      <w:r w:rsidRPr="00231547">
        <w:rPr>
          <w:rFonts w:asciiTheme="majorHAnsi" w:eastAsiaTheme="minorHAnsi" w:hAnsiTheme="majorHAnsi" w:cstheme="majorHAnsi"/>
          <w:sz w:val="24"/>
          <w:szCs w:val="24"/>
          <w:lang w:val="ro-MD"/>
        </w:rPr>
        <w:t>În aceste circumstanțe, auditul consideră oportun</w:t>
      </w:r>
      <w:r w:rsidR="00113B9B" w:rsidRPr="00231547">
        <w:rPr>
          <w:rFonts w:asciiTheme="majorHAnsi" w:eastAsiaTheme="minorHAnsi" w:hAnsiTheme="majorHAnsi" w:cstheme="majorHAnsi"/>
          <w:sz w:val="24"/>
          <w:szCs w:val="24"/>
          <w:lang w:val="ro-MD"/>
        </w:rPr>
        <w:t>ă</w:t>
      </w:r>
      <w:r w:rsidRPr="00231547">
        <w:rPr>
          <w:rFonts w:asciiTheme="majorHAnsi" w:eastAsiaTheme="minorHAnsi" w:hAnsiTheme="majorHAnsi" w:cstheme="majorHAnsi"/>
          <w:sz w:val="24"/>
          <w:szCs w:val="24"/>
          <w:lang w:val="ro-MD"/>
        </w:rPr>
        <w:t xml:space="preserve"> necesitatea de a fi întreprinse acțiuni de eficientizare și optimizare a utilizării banilor publici în aceste scopuri. </w:t>
      </w:r>
    </w:p>
    <w:p w14:paraId="47B4401B" w14:textId="5A3B16DD" w:rsidR="00C66D75" w:rsidRPr="00231547" w:rsidRDefault="004A70F7" w:rsidP="00F971E5">
      <w:pPr>
        <w:pStyle w:val="ListParagraph"/>
        <w:numPr>
          <w:ilvl w:val="1"/>
          <w:numId w:val="1"/>
        </w:numPr>
        <w:ind w:left="0" w:firstLine="0"/>
        <w:jc w:val="both"/>
        <w:rPr>
          <w:rFonts w:asciiTheme="majorHAnsi" w:hAnsiTheme="majorHAnsi" w:cstheme="majorHAnsi"/>
          <w:sz w:val="24"/>
          <w:szCs w:val="24"/>
          <w:lang w:val="ro-MD"/>
        </w:rPr>
      </w:pPr>
      <w:r w:rsidRPr="00231547">
        <w:rPr>
          <w:rFonts w:asciiTheme="majorHAnsi" w:hAnsiTheme="majorHAnsi" w:cstheme="majorHAnsi"/>
          <w:sz w:val="24"/>
          <w:szCs w:val="24"/>
          <w:lang w:val="ro-MD"/>
        </w:rPr>
        <w:t>Deși Legea nr. 273-XIII din 09.11.1994</w:t>
      </w:r>
      <w:r w:rsidRPr="00231547">
        <w:rPr>
          <w:rStyle w:val="FootnoteReference"/>
          <w:rFonts w:asciiTheme="majorHAnsi" w:hAnsiTheme="majorHAnsi" w:cstheme="majorHAnsi"/>
          <w:sz w:val="24"/>
          <w:szCs w:val="24"/>
          <w:lang w:val="ro-MD"/>
        </w:rPr>
        <w:footnoteReference w:id="25"/>
      </w:r>
      <w:r w:rsidRPr="00231547">
        <w:rPr>
          <w:rFonts w:asciiTheme="majorHAnsi" w:hAnsiTheme="majorHAnsi" w:cstheme="majorHAnsi"/>
          <w:sz w:val="24"/>
          <w:szCs w:val="24"/>
          <w:lang w:val="ro-MD"/>
        </w:rPr>
        <w:t xml:space="preserve"> prevede că modul și termenele de eliberare, anulare, ridicare și depozitare a pașaportului diplomatic și a celui de servi</w:t>
      </w:r>
      <w:r w:rsidR="00F25CA0" w:rsidRPr="00231547">
        <w:rPr>
          <w:rFonts w:asciiTheme="majorHAnsi" w:hAnsiTheme="majorHAnsi" w:cstheme="majorHAnsi"/>
          <w:sz w:val="24"/>
          <w:szCs w:val="24"/>
          <w:lang w:val="ro-MD"/>
        </w:rPr>
        <w:t xml:space="preserve">ciu se reglementează de Guvern, </w:t>
      </w:r>
      <w:r w:rsidR="00C66D75" w:rsidRPr="00231547">
        <w:rPr>
          <w:rFonts w:asciiTheme="majorHAnsi" w:hAnsiTheme="majorHAnsi" w:cstheme="majorHAnsi"/>
          <w:sz w:val="24"/>
          <w:szCs w:val="24"/>
          <w:lang w:val="ro-MD"/>
        </w:rPr>
        <w:t>v</w:t>
      </w:r>
      <w:r w:rsidRPr="00231547">
        <w:rPr>
          <w:rFonts w:asciiTheme="majorHAnsi" w:hAnsiTheme="majorHAnsi" w:cstheme="majorHAnsi"/>
          <w:sz w:val="24"/>
          <w:szCs w:val="24"/>
          <w:lang w:val="ro-MD"/>
        </w:rPr>
        <w:t>erificările de audit</w:t>
      </w:r>
      <w:r w:rsidR="008B04B3" w:rsidRPr="00231547">
        <w:rPr>
          <w:rFonts w:asciiTheme="majorHAnsi" w:hAnsiTheme="majorHAnsi" w:cstheme="majorHAnsi"/>
          <w:sz w:val="24"/>
          <w:szCs w:val="24"/>
          <w:lang w:val="ro-MD"/>
        </w:rPr>
        <w:t xml:space="preserve"> constată lipsa </w:t>
      </w:r>
      <w:r w:rsidR="00CA2B6C" w:rsidRPr="00231547">
        <w:rPr>
          <w:rFonts w:asciiTheme="majorHAnsi" w:hAnsiTheme="majorHAnsi" w:cstheme="majorHAnsi"/>
          <w:sz w:val="24"/>
          <w:szCs w:val="24"/>
          <w:lang w:val="ro-MD"/>
        </w:rPr>
        <w:t>acestor reglementări.</w:t>
      </w:r>
      <w:r w:rsidR="002858EA" w:rsidRPr="00231547">
        <w:rPr>
          <w:rFonts w:asciiTheme="majorHAnsi" w:hAnsiTheme="majorHAnsi" w:cstheme="majorHAnsi"/>
          <w:sz w:val="24"/>
          <w:szCs w:val="24"/>
          <w:lang w:val="ro-MD"/>
        </w:rPr>
        <w:t xml:space="preserve"> </w:t>
      </w:r>
      <w:r w:rsidR="008B04B3" w:rsidRPr="00231547">
        <w:rPr>
          <w:rFonts w:asciiTheme="majorHAnsi" w:hAnsiTheme="majorHAnsi" w:cstheme="majorHAnsi"/>
          <w:sz w:val="24"/>
          <w:szCs w:val="24"/>
          <w:lang w:val="ro-MD"/>
        </w:rPr>
        <w:t>În contextul stabilirii</w:t>
      </w:r>
      <w:r w:rsidR="00C66D75" w:rsidRPr="00231547">
        <w:rPr>
          <w:rFonts w:asciiTheme="majorHAnsi" w:hAnsiTheme="majorHAnsi" w:cstheme="majorHAnsi"/>
          <w:sz w:val="24"/>
          <w:szCs w:val="24"/>
          <w:lang w:val="ro-MD"/>
        </w:rPr>
        <w:t>,</w:t>
      </w:r>
      <w:r w:rsidR="008B04B3" w:rsidRPr="00231547">
        <w:rPr>
          <w:rFonts w:asciiTheme="majorHAnsi" w:hAnsiTheme="majorHAnsi" w:cstheme="majorHAnsi"/>
          <w:sz w:val="24"/>
          <w:szCs w:val="24"/>
          <w:lang w:val="ro-MD"/>
        </w:rPr>
        <w:t xml:space="preserve"> </w:t>
      </w:r>
      <w:r w:rsidR="00C66D75" w:rsidRPr="00231547">
        <w:rPr>
          <w:rFonts w:asciiTheme="majorHAnsi" w:hAnsiTheme="majorHAnsi" w:cstheme="majorHAnsi"/>
          <w:sz w:val="24"/>
          <w:szCs w:val="24"/>
          <w:lang w:val="ro-MD"/>
        </w:rPr>
        <w:t>începând cu 1 iulie 2021, a tarifului</w:t>
      </w:r>
      <w:r w:rsidR="008B04B3" w:rsidRPr="00231547">
        <w:rPr>
          <w:rStyle w:val="FootnoteReference"/>
          <w:rFonts w:asciiTheme="majorHAnsi" w:hAnsiTheme="majorHAnsi" w:cstheme="majorHAnsi"/>
          <w:sz w:val="24"/>
          <w:szCs w:val="24"/>
          <w:lang w:val="ro-MD"/>
        </w:rPr>
        <w:footnoteReference w:id="26"/>
      </w:r>
      <w:r w:rsidR="008B04B3" w:rsidRPr="00231547">
        <w:rPr>
          <w:rFonts w:asciiTheme="majorHAnsi" w:hAnsiTheme="majorHAnsi" w:cstheme="majorHAnsi"/>
          <w:sz w:val="24"/>
          <w:szCs w:val="24"/>
          <w:lang w:val="ro-MD"/>
        </w:rPr>
        <w:t xml:space="preserve"> de 650 lei pentru  </w:t>
      </w:r>
      <w:r w:rsidR="00C66D75" w:rsidRPr="00231547">
        <w:rPr>
          <w:rFonts w:asciiTheme="majorHAnsi" w:hAnsiTheme="majorHAnsi" w:cstheme="majorHAnsi"/>
          <w:sz w:val="24"/>
          <w:szCs w:val="24"/>
          <w:lang w:val="ro-MD"/>
        </w:rPr>
        <w:t xml:space="preserve">perfectarea </w:t>
      </w:r>
      <w:r w:rsidR="008B04B3" w:rsidRPr="00231547">
        <w:rPr>
          <w:rFonts w:asciiTheme="majorHAnsi" w:hAnsiTheme="majorHAnsi" w:cstheme="majorHAnsi"/>
          <w:sz w:val="24"/>
          <w:szCs w:val="24"/>
          <w:lang w:val="ro-MD"/>
        </w:rPr>
        <w:t>pașapoarte</w:t>
      </w:r>
      <w:r w:rsidR="00C66D75" w:rsidRPr="00231547">
        <w:rPr>
          <w:rFonts w:asciiTheme="majorHAnsi" w:hAnsiTheme="majorHAnsi" w:cstheme="majorHAnsi"/>
          <w:sz w:val="24"/>
          <w:szCs w:val="24"/>
          <w:lang w:val="ro-MD"/>
        </w:rPr>
        <w:t>lor</w:t>
      </w:r>
      <w:r w:rsidR="008B04B3" w:rsidRPr="00231547">
        <w:rPr>
          <w:rFonts w:asciiTheme="majorHAnsi" w:hAnsiTheme="majorHAnsi" w:cstheme="majorHAnsi"/>
          <w:sz w:val="24"/>
          <w:szCs w:val="24"/>
          <w:lang w:val="ro-MD"/>
        </w:rPr>
        <w:t xml:space="preserve"> diplomatice și de serviciu</w:t>
      </w:r>
      <w:r w:rsidR="00C66D75" w:rsidRPr="00231547">
        <w:rPr>
          <w:rFonts w:asciiTheme="majorHAnsi" w:hAnsiTheme="majorHAnsi" w:cstheme="majorHAnsi"/>
          <w:sz w:val="24"/>
          <w:szCs w:val="24"/>
          <w:lang w:val="ro-MD"/>
        </w:rPr>
        <w:t xml:space="preserve">, cu suportarea cheltuielilor din bugetul de stat, </w:t>
      </w:r>
      <w:r w:rsidRPr="00231547">
        <w:rPr>
          <w:rFonts w:asciiTheme="majorHAnsi" w:hAnsiTheme="majorHAnsi" w:cstheme="majorHAnsi"/>
          <w:sz w:val="24"/>
          <w:szCs w:val="24"/>
          <w:lang w:val="ro-MD"/>
        </w:rPr>
        <w:t>audit</w:t>
      </w:r>
      <w:r w:rsidR="00C66D75" w:rsidRPr="00231547">
        <w:rPr>
          <w:rFonts w:asciiTheme="majorHAnsi" w:hAnsiTheme="majorHAnsi" w:cstheme="majorHAnsi"/>
          <w:sz w:val="24"/>
          <w:szCs w:val="24"/>
          <w:lang w:val="ro-MD"/>
        </w:rPr>
        <w:t>ul</w:t>
      </w:r>
      <w:r w:rsidRPr="00231547">
        <w:rPr>
          <w:rFonts w:asciiTheme="majorHAnsi" w:hAnsiTheme="majorHAnsi" w:cstheme="majorHAnsi"/>
          <w:sz w:val="24"/>
          <w:szCs w:val="24"/>
          <w:lang w:val="ro-MD"/>
        </w:rPr>
        <w:t xml:space="preserve"> consideră o</w:t>
      </w:r>
      <w:r w:rsidR="00C66D75" w:rsidRPr="00231547">
        <w:rPr>
          <w:rFonts w:asciiTheme="majorHAnsi" w:hAnsiTheme="majorHAnsi" w:cstheme="majorHAnsi"/>
          <w:sz w:val="24"/>
          <w:szCs w:val="24"/>
          <w:lang w:val="ro-MD"/>
        </w:rPr>
        <w:t>portun</w:t>
      </w:r>
      <w:r w:rsidR="0047304C" w:rsidRPr="00231547">
        <w:rPr>
          <w:rFonts w:asciiTheme="majorHAnsi" w:hAnsiTheme="majorHAnsi" w:cstheme="majorHAnsi"/>
          <w:sz w:val="24"/>
          <w:szCs w:val="24"/>
          <w:lang w:val="ro-MD"/>
        </w:rPr>
        <w:t>ă</w:t>
      </w:r>
      <w:r w:rsidR="00C66D75" w:rsidRPr="00231547">
        <w:rPr>
          <w:rFonts w:asciiTheme="majorHAnsi" w:hAnsiTheme="majorHAnsi" w:cstheme="majorHAnsi"/>
          <w:sz w:val="24"/>
          <w:szCs w:val="24"/>
          <w:lang w:val="ro-MD"/>
        </w:rPr>
        <w:t xml:space="preserve"> de a fi actualizată</w:t>
      </w:r>
      <w:r w:rsidRPr="00231547">
        <w:rPr>
          <w:rFonts w:asciiTheme="majorHAnsi" w:hAnsiTheme="majorHAnsi" w:cstheme="majorHAnsi"/>
          <w:sz w:val="24"/>
          <w:szCs w:val="24"/>
          <w:lang w:val="ro-MD"/>
        </w:rPr>
        <w:t xml:space="preserve"> </w:t>
      </w:r>
      <w:r w:rsidR="00C66D75" w:rsidRPr="00231547">
        <w:rPr>
          <w:rFonts w:asciiTheme="majorHAnsi" w:hAnsiTheme="majorHAnsi" w:cstheme="majorHAnsi"/>
          <w:sz w:val="24"/>
          <w:szCs w:val="24"/>
          <w:lang w:val="ro-MD"/>
        </w:rPr>
        <w:t xml:space="preserve">lista/contigentul persoanelor cu funcții publice, </w:t>
      </w:r>
      <w:r w:rsidRPr="00231547">
        <w:rPr>
          <w:rFonts w:asciiTheme="majorHAnsi" w:hAnsiTheme="majorHAnsi" w:cstheme="majorHAnsi"/>
          <w:sz w:val="24"/>
          <w:szCs w:val="24"/>
          <w:lang w:val="ro-MD"/>
        </w:rPr>
        <w:t xml:space="preserve">determinând cu strictețe categoriile </w:t>
      </w:r>
      <w:r w:rsidR="00C66D75" w:rsidRPr="00231547">
        <w:rPr>
          <w:rFonts w:asciiTheme="majorHAnsi" w:hAnsiTheme="majorHAnsi" w:cstheme="majorHAnsi"/>
          <w:sz w:val="24"/>
          <w:szCs w:val="24"/>
          <w:lang w:val="ro-MD"/>
        </w:rPr>
        <w:t>care pot beneficia de acest act de identificare.</w:t>
      </w:r>
    </w:p>
    <w:p w14:paraId="77FBF7DD" w14:textId="77777777" w:rsidR="00B35482" w:rsidRPr="00231547" w:rsidRDefault="00B35482" w:rsidP="00B12D2F">
      <w:pPr>
        <w:pStyle w:val="ListParagraph"/>
        <w:ind w:left="0" w:right="-18"/>
        <w:jc w:val="both"/>
        <w:rPr>
          <w:rFonts w:asciiTheme="majorHAnsi" w:hAnsiTheme="majorHAnsi" w:cstheme="majorHAnsi"/>
          <w:sz w:val="8"/>
          <w:szCs w:val="8"/>
          <w:lang w:val="ro-MD"/>
        </w:rPr>
      </w:pPr>
    </w:p>
    <w:p w14:paraId="5DBBF997" w14:textId="2D7FDBDC" w:rsidR="0055318C" w:rsidRPr="00231547" w:rsidRDefault="00F94936" w:rsidP="0055318C">
      <w:pPr>
        <w:pStyle w:val="ListParagraph"/>
        <w:numPr>
          <w:ilvl w:val="0"/>
          <w:numId w:val="1"/>
        </w:numPr>
        <w:spacing w:after="0"/>
        <w:jc w:val="both"/>
        <w:rPr>
          <w:rFonts w:asciiTheme="majorHAnsi" w:hAnsiTheme="majorHAnsi" w:cstheme="majorHAnsi"/>
          <w:b/>
          <w:sz w:val="24"/>
          <w:szCs w:val="24"/>
          <w:lang w:val="ro-MD"/>
        </w:rPr>
      </w:pPr>
      <w:r w:rsidRPr="00231547">
        <w:rPr>
          <w:rFonts w:asciiTheme="majorHAnsi" w:hAnsiTheme="majorHAnsi" w:cstheme="majorHAnsi"/>
          <w:b/>
          <w:sz w:val="24"/>
          <w:szCs w:val="24"/>
          <w:lang w:val="ro-MD"/>
        </w:rPr>
        <w:t>RESPONSABILITĂȚILE CONDUCERII PENTRU RAPOARTELE FINANCIARE</w:t>
      </w:r>
    </w:p>
    <w:p w14:paraId="1D225719" w14:textId="77777777" w:rsidR="0055318C" w:rsidRPr="00231547" w:rsidRDefault="0055318C" w:rsidP="0055318C">
      <w:pPr>
        <w:pStyle w:val="ListParagraph"/>
        <w:spacing w:after="0"/>
        <w:ind w:left="1080"/>
        <w:jc w:val="both"/>
        <w:rPr>
          <w:rFonts w:asciiTheme="majorHAnsi" w:hAnsiTheme="majorHAnsi" w:cstheme="majorHAnsi"/>
          <w:b/>
          <w:sz w:val="8"/>
          <w:szCs w:val="8"/>
          <w:lang w:val="ro-MD"/>
        </w:rPr>
      </w:pPr>
    </w:p>
    <w:p w14:paraId="127D4966" w14:textId="6D5E8104" w:rsidR="00F94936" w:rsidRPr="00231547" w:rsidRDefault="00F94936" w:rsidP="00B12D2F">
      <w:pPr>
        <w:jc w:val="both"/>
        <w:rPr>
          <w:rFonts w:asciiTheme="majorHAnsi" w:hAnsiTheme="majorHAnsi" w:cstheme="majorHAnsi"/>
          <w:sz w:val="24"/>
          <w:szCs w:val="24"/>
          <w:lang w:val="ro-MD"/>
        </w:rPr>
      </w:pPr>
      <w:r w:rsidRPr="00231547">
        <w:rPr>
          <w:rFonts w:asciiTheme="majorHAnsi" w:hAnsiTheme="majorHAnsi" w:cstheme="majorHAnsi"/>
          <w:sz w:val="24"/>
          <w:szCs w:val="24"/>
          <w:lang w:val="ro-MD"/>
        </w:rPr>
        <w:t xml:space="preserve">Ministrul </w:t>
      </w:r>
      <w:r w:rsidR="002B2710" w:rsidRPr="00231547">
        <w:rPr>
          <w:rFonts w:asciiTheme="majorHAnsi" w:hAnsiTheme="majorHAnsi" w:cstheme="majorHAnsi"/>
          <w:sz w:val="24"/>
          <w:szCs w:val="24"/>
          <w:lang w:val="ro-MD"/>
        </w:rPr>
        <w:t>A</w:t>
      </w:r>
      <w:r w:rsidRPr="00231547">
        <w:rPr>
          <w:rFonts w:asciiTheme="majorHAnsi" w:hAnsiTheme="majorHAnsi" w:cstheme="majorHAnsi"/>
          <w:sz w:val="24"/>
          <w:szCs w:val="24"/>
          <w:lang w:val="ro-MD"/>
        </w:rPr>
        <w:t xml:space="preserve">facerilor </w:t>
      </w:r>
      <w:r w:rsidR="002B2710" w:rsidRPr="00231547">
        <w:rPr>
          <w:rFonts w:asciiTheme="majorHAnsi" w:hAnsiTheme="majorHAnsi" w:cstheme="majorHAnsi"/>
          <w:sz w:val="24"/>
          <w:szCs w:val="24"/>
          <w:lang w:val="ro-MD"/>
        </w:rPr>
        <w:t>E</w:t>
      </w:r>
      <w:r w:rsidRPr="00231547">
        <w:rPr>
          <w:rFonts w:asciiTheme="majorHAnsi" w:hAnsiTheme="majorHAnsi" w:cstheme="majorHAnsi"/>
          <w:sz w:val="24"/>
          <w:szCs w:val="24"/>
          <w:lang w:val="ro-MD"/>
        </w:rPr>
        <w:t xml:space="preserve">xterne și </w:t>
      </w:r>
      <w:r w:rsidR="002B2710" w:rsidRPr="00231547">
        <w:rPr>
          <w:rFonts w:asciiTheme="majorHAnsi" w:hAnsiTheme="majorHAnsi" w:cstheme="majorHAnsi"/>
          <w:sz w:val="24"/>
          <w:szCs w:val="24"/>
          <w:lang w:val="ro-MD"/>
        </w:rPr>
        <w:t>I</w:t>
      </w:r>
      <w:r w:rsidRPr="00231547">
        <w:rPr>
          <w:rFonts w:asciiTheme="majorHAnsi" w:hAnsiTheme="majorHAnsi" w:cstheme="majorHAnsi"/>
          <w:sz w:val="24"/>
          <w:szCs w:val="24"/>
          <w:lang w:val="ro-MD"/>
        </w:rPr>
        <w:t xml:space="preserve">ntegrării </w:t>
      </w:r>
      <w:r w:rsidR="002B2710" w:rsidRPr="00231547">
        <w:rPr>
          <w:rFonts w:asciiTheme="majorHAnsi" w:hAnsiTheme="majorHAnsi" w:cstheme="majorHAnsi"/>
          <w:sz w:val="24"/>
          <w:szCs w:val="24"/>
          <w:lang w:val="ro-MD"/>
        </w:rPr>
        <w:t>E</w:t>
      </w:r>
      <w:r w:rsidRPr="00231547">
        <w:rPr>
          <w:rFonts w:asciiTheme="majorHAnsi" w:hAnsiTheme="majorHAnsi" w:cstheme="majorHAnsi"/>
          <w:sz w:val="24"/>
          <w:szCs w:val="24"/>
          <w:lang w:val="ro-MD"/>
        </w:rPr>
        <w:t>uropene, în calitate de conducător al organului central de specialitate al administrației publice, este responsabil de întocmirea, semnarea și prezentarea corectă și fidelă a rapoartelor financiare consolidate</w:t>
      </w:r>
      <w:r w:rsidRPr="00231547">
        <w:rPr>
          <w:rFonts w:asciiTheme="majorHAnsi" w:hAnsiTheme="majorHAnsi" w:cstheme="majorHAnsi"/>
          <w:sz w:val="24"/>
          <w:szCs w:val="24"/>
          <w:vertAlign w:val="superscript"/>
          <w:lang w:val="ro-MD"/>
        </w:rPr>
        <w:footnoteReference w:id="27"/>
      </w:r>
      <w:r w:rsidRPr="00231547">
        <w:rPr>
          <w:rFonts w:asciiTheme="majorHAnsi" w:hAnsiTheme="majorHAnsi" w:cstheme="majorHAnsi"/>
          <w:sz w:val="24"/>
          <w:szCs w:val="24"/>
          <w:lang w:val="ro-MD"/>
        </w:rPr>
        <w:t xml:space="preserve"> în conformitate cu cadrul de raportare financiară aplicabil, precum și de organizarea controlului intern managerial, pentru a asigura desfășurarea organizată și eficientă a activității economice a entității, inclusiv respectarea strictă a integrității activelor, prevenirea și descoperirea cauzelor de fraudă și/sau eroare, exactitatea și </w:t>
      </w:r>
      <w:r w:rsidRPr="00231547">
        <w:rPr>
          <w:rFonts w:asciiTheme="majorHAnsi" w:hAnsiTheme="majorHAnsi" w:cstheme="majorHAnsi"/>
          <w:sz w:val="24"/>
          <w:szCs w:val="24"/>
          <w:lang w:val="ro-MD"/>
        </w:rPr>
        <w:lastRenderedPageBreak/>
        <w:t>plenitudinea înregistrărilor contabile, precum și pregătirea oportună a unor informații financiare credibile.</w:t>
      </w:r>
    </w:p>
    <w:p w14:paraId="6B759828" w14:textId="15C773F7" w:rsidR="00F94936" w:rsidRPr="00231547" w:rsidRDefault="00F94936" w:rsidP="00B12D2F">
      <w:pPr>
        <w:pStyle w:val="ListParagraph"/>
        <w:numPr>
          <w:ilvl w:val="0"/>
          <w:numId w:val="1"/>
        </w:numPr>
        <w:spacing w:after="0"/>
        <w:rPr>
          <w:rFonts w:asciiTheme="majorHAnsi" w:hAnsiTheme="majorHAnsi" w:cstheme="majorHAnsi"/>
          <w:b/>
          <w:sz w:val="24"/>
          <w:szCs w:val="24"/>
          <w:lang w:val="ro-MD"/>
        </w:rPr>
      </w:pPr>
      <w:r w:rsidRPr="00231547">
        <w:rPr>
          <w:rFonts w:asciiTheme="majorHAnsi" w:hAnsiTheme="majorHAnsi" w:cstheme="majorHAnsi"/>
          <w:b/>
          <w:sz w:val="24"/>
          <w:szCs w:val="24"/>
          <w:lang w:val="ro-MD"/>
        </w:rPr>
        <w:t>RESPONSABILITĂȚILE AUDITORULUI ÎNTR-UN AUDIT AL RAPOARTELOR FINANCIARE</w:t>
      </w:r>
    </w:p>
    <w:p w14:paraId="1FB87DAF" w14:textId="77777777" w:rsidR="001808E7" w:rsidRPr="00231547" w:rsidRDefault="001808E7" w:rsidP="001808E7">
      <w:pPr>
        <w:pStyle w:val="ListParagraph"/>
        <w:spacing w:after="0"/>
        <w:ind w:left="1080"/>
        <w:rPr>
          <w:rFonts w:asciiTheme="majorHAnsi" w:hAnsiTheme="majorHAnsi" w:cstheme="majorHAnsi"/>
          <w:b/>
          <w:sz w:val="8"/>
          <w:szCs w:val="8"/>
          <w:lang w:val="ro-MD"/>
        </w:rPr>
      </w:pPr>
    </w:p>
    <w:p w14:paraId="195B2906" w14:textId="77777777" w:rsidR="00F94936" w:rsidRPr="00231547" w:rsidRDefault="00F94936" w:rsidP="00B12D2F">
      <w:pPr>
        <w:autoSpaceDE w:val="0"/>
        <w:autoSpaceDN w:val="0"/>
        <w:adjustRightInd w:val="0"/>
        <w:spacing w:after="0"/>
        <w:jc w:val="both"/>
        <w:rPr>
          <w:rFonts w:asciiTheme="majorHAnsi" w:hAnsiTheme="majorHAnsi" w:cstheme="majorHAnsi"/>
          <w:sz w:val="24"/>
          <w:szCs w:val="24"/>
          <w:lang w:val="ro-MD"/>
        </w:rPr>
      </w:pPr>
      <w:r w:rsidRPr="00231547">
        <w:rPr>
          <w:rFonts w:asciiTheme="majorHAnsi" w:hAnsiTheme="majorHAnsi" w:cstheme="majorHAnsi"/>
          <w:sz w:val="24"/>
          <w:szCs w:val="24"/>
          <w:lang w:val="ro-MD"/>
        </w:rPr>
        <w:t>Responsabilitatea noastră este de a planifica și a realiza misiunea de audit, cu obținerea probelor suficiente și adecvate în vederea susținerii bazei pentru opinia de audit. Obiectivele noastre sunt: obținerea unei asigurări rezonabile că rapoartele financiare consolidate nu sunt afectate de denaturări semnificative, cauzate de fraude sau erori, precum și emiterea unei opinii.</w:t>
      </w:r>
    </w:p>
    <w:p w14:paraId="594193A2" w14:textId="43AE7547" w:rsidR="00F94936" w:rsidRPr="00231547" w:rsidRDefault="00F94936" w:rsidP="00B12D2F">
      <w:pPr>
        <w:autoSpaceDE w:val="0"/>
        <w:autoSpaceDN w:val="0"/>
        <w:adjustRightInd w:val="0"/>
        <w:spacing w:before="240" w:after="0"/>
        <w:jc w:val="both"/>
        <w:rPr>
          <w:rFonts w:asciiTheme="majorHAnsi" w:hAnsiTheme="majorHAnsi" w:cstheme="majorHAnsi"/>
          <w:sz w:val="24"/>
          <w:szCs w:val="24"/>
          <w:lang w:val="ro-MD"/>
        </w:rPr>
      </w:pPr>
      <w:r w:rsidRPr="00231547">
        <w:rPr>
          <w:rFonts w:asciiTheme="majorHAnsi" w:hAnsiTheme="majorHAnsi" w:cstheme="majorHAnsi"/>
          <w:sz w:val="24"/>
          <w:szCs w:val="24"/>
          <w:lang w:val="ro-MD"/>
        </w:rPr>
        <w:t xml:space="preserve">Asigurarea rezonabilă este un nivel ridicat de asigurare, dar nu este o garanție că un audit efectuat în conformitate cu Standardele Internaționale va detecta întotdeauna o denaturare semnificativă atunci când ea există. Denaturările pot fi </w:t>
      </w:r>
      <w:r w:rsidR="002B2710" w:rsidRPr="00231547">
        <w:rPr>
          <w:rFonts w:asciiTheme="majorHAnsi" w:hAnsiTheme="majorHAnsi" w:cstheme="majorHAnsi"/>
          <w:sz w:val="24"/>
          <w:szCs w:val="24"/>
          <w:lang w:val="ro-MD"/>
        </w:rPr>
        <w:t xml:space="preserve">ca </w:t>
      </w:r>
      <w:r w:rsidRPr="00231547">
        <w:rPr>
          <w:rFonts w:asciiTheme="majorHAnsi" w:hAnsiTheme="majorHAnsi" w:cstheme="majorHAnsi"/>
          <w:sz w:val="24"/>
          <w:szCs w:val="24"/>
          <w:lang w:val="ro-MD"/>
        </w:rPr>
        <w:t xml:space="preserve">urmare a fraudelor sau erorilor. Totodată, denaturările pot fi considerate semnificative dacă, în mod individual sau în ansamblu, pot influența deciziile economice ale utilizatorilor acestor rapoarte financiare consolidate. </w:t>
      </w:r>
    </w:p>
    <w:p w14:paraId="43C9A07E" w14:textId="77777777" w:rsidR="00F94936" w:rsidRPr="00231547" w:rsidRDefault="00F94936" w:rsidP="00B12D2F">
      <w:pPr>
        <w:autoSpaceDE w:val="0"/>
        <w:autoSpaceDN w:val="0"/>
        <w:adjustRightInd w:val="0"/>
        <w:spacing w:before="240" w:after="0"/>
        <w:jc w:val="both"/>
        <w:rPr>
          <w:rFonts w:asciiTheme="majorHAnsi" w:hAnsiTheme="majorHAnsi" w:cstheme="majorHAnsi"/>
          <w:sz w:val="24"/>
          <w:szCs w:val="24"/>
          <w:lang w:val="ro-MD"/>
        </w:rPr>
      </w:pPr>
      <w:r w:rsidRPr="00231547">
        <w:rPr>
          <w:rFonts w:asciiTheme="majorHAnsi" w:hAnsiTheme="majorHAnsi" w:cstheme="majorHAnsi"/>
          <w:sz w:val="24"/>
          <w:szCs w:val="24"/>
          <w:lang w:val="ro-MD"/>
        </w:rPr>
        <w:t>O descriere suplimentară a responsabilităților auditorului într-un audit al rapoartelor financiare este plasată pe site-ul Curții de Conturi, la adresa</w:t>
      </w:r>
      <w:r w:rsidRPr="00231547">
        <w:rPr>
          <w:rFonts w:asciiTheme="majorHAnsi" w:hAnsiTheme="majorHAnsi" w:cstheme="majorHAnsi"/>
          <w:i/>
          <w:sz w:val="24"/>
          <w:szCs w:val="24"/>
          <w:lang w:val="ro-MD"/>
        </w:rPr>
        <w:t xml:space="preserve">: </w:t>
      </w:r>
      <w:hyperlink r:id="rId11" w:history="1">
        <w:r w:rsidRPr="00231547">
          <w:rPr>
            <w:rFonts w:asciiTheme="majorHAnsi" w:hAnsiTheme="majorHAnsi" w:cstheme="majorHAnsi"/>
            <w:i/>
            <w:sz w:val="24"/>
            <w:szCs w:val="24"/>
            <w:u w:val="single"/>
            <w:lang w:val="ro-MD"/>
          </w:rPr>
          <w:t>http://www.ccrm.md/activitatea-curtii-de-conturi-1-25</w:t>
        </w:r>
      </w:hyperlink>
      <w:r w:rsidRPr="00231547">
        <w:rPr>
          <w:rFonts w:asciiTheme="majorHAnsi" w:hAnsiTheme="majorHAnsi" w:cstheme="majorHAnsi"/>
          <w:i/>
          <w:sz w:val="24"/>
          <w:szCs w:val="24"/>
          <w:lang w:val="ro-MD"/>
        </w:rPr>
        <w:t>.</w:t>
      </w:r>
      <w:r w:rsidRPr="00231547">
        <w:rPr>
          <w:rFonts w:asciiTheme="majorHAnsi" w:hAnsiTheme="majorHAnsi" w:cstheme="majorHAnsi"/>
          <w:sz w:val="24"/>
          <w:szCs w:val="24"/>
          <w:lang w:val="ro-MD"/>
        </w:rPr>
        <w:t xml:space="preserve"> Această descriere face parte din Raportul nostru de audit.</w:t>
      </w:r>
    </w:p>
    <w:tbl>
      <w:tblPr>
        <w:tblStyle w:val="TableGrid3"/>
        <w:tblW w:w="9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gridCol w:w="2505"/>
      </w:tblGrid>
      <w:tr w:rsidR="00231547" w:rsidRPr="00231547" w14:paraId="6693AD11" w14:textId="77777777" w:rsidTr="000D19DB">
        <w:trPr>
          <w:trHeight w:val="947"/>
        </w:trPr>
        <w:tc>
          <w:tcPr>
            <w:tcW w:w="7088" w:type="dxa"/>
          </w:tcPr>
          <w:p w14:paraId="291ED82B" w14:textId="77777777" w:rsidR="00F94936" w:rsidRPr="00231547" w:rsidRDefault="00F94936" w:rsidP="00B12D2F">
            <w:pPr>
              <w:spacing w:line="276" w:lineRule="auto"/>
              <w:rPr>
                <w:rFonts w:asciiTheme="majorHAnsi" w:eastAsia="Times New Roman" w:hAnsiTheme="majorHAnsi" w:cstheme="majorHAnsi"/>
                <w:b/>
                <w:i/>
                <w:sz w:val="24"/>
                <w:szCs w:val="24"/>
                <w:lang w:val="ro-MD"/>
              </w:rPr>
            </w:pPr>
          </w:p>
          <w:p w14:paraId="1F57ADA9" w14:textId="77777777" w:rsidR="00F94936" w:rsidRPr="00231547" w:rsidRDefault="00F94936" w:rsidP="00B12D2F">
            <w:pPr>
              <w:spacing w:line="276" w:lineRule="auto"/>
              <w:rPr>
                <w:rFonts w:asciiTheme="majorHAnsi" w:eastAsia="Times New Roman" w:hAnsiTheme="majorHAnsi" w:cstheme="majorHAnsi"/>
                <w:b/>
                <w:i/>
                <w:sz w:val="24"/>
                <w:szCs w:val="24"/>
                <w:lang w:val="ro-MD"/>
              </w:rPr>
            </w:pPr>
            <w:r w:rsidRPr="00231547">
              <w:rPr>
                <w:rFonts w:asciiTheme="majorHAnsi" w:eastAsia="Times New Roman" w:hAnsiTheme="majorHAnsi" w:cstheme="majorHAnsi"/>
                <w:b/>
                <w:i/>
                <w:sz w:val="24"/>
                <w:szCs w:val="24"/>
                <w:lang w:val="ro-MD"/>
              </w:rPr>
              <w:t>Responsabili de întocmirea Raportului de audit:</w:t>
            </w:r>
          </w:p>
          <w:p w14:paraId="01ADDD2D" w14:textId="77777777" w:rsidR="00F94936" w:rsidRPr="00231547" w:rsidRDefault="00F94936" w:rsidP="00B12D2F">
            <w:pPr>
              <w:spacing w:line="276" w:lineRule="auto"/>
              <w:rPr>
                <w:rFonts w:asciiTheme="majorHAnsi" w:eastAsia="Times New Roman" w:hAnsiTheme="majorHAnsi" w:cstheme="majorHAnsi"/>
                <w:sz w:val="24"/>
                <w:szCs w:val="24"/>
                <w:lang w:val="ro-MD"/>
              </w:rPr>
            </w:pPr>
            <w:r w:rsidRPr="00231547">
              <w:rPr>
                <w:rFonts w:asciiTheme="majorHAnsi" w:eastAsia="Times New Roman" w:hAnsiTheme="majorHAnsi" w:cstheme="majorHAnsi"/>
                <w:sz w:val="24"/>
                <w:szCs w:val="24"/>
                <w:lang w:val="ro-MD"/>
              </w:rPr>
              <w:t xml:space="preserve">șeful echipei de audit,  </w:t>
            </w:r>
          </w:p>
          <w:p w14:paraId="060AC458" w14:textId="77777777" w:rsidR="00F94936" w:rsidRPr="00231547" w:rsidRDefault="00F94936" w:rsidP="00B12D2F">
            <w:pPr>
              <w:spacing w:line="276" w:lineRule="auto"/>
              <w:rPr>
                <w:rFonts w:asciiTheme="majorHAnsi" w:hAnsiTheme="majorHAnsi" w:cstheme="majorHAnsi"/>
                <w:sz w:val="24"/>
                <w:szCs w:val="24"/>
                <w:lang w:val="ro-MD"/>
              </w:rPr>
            </w:pPr>
            <w:r w:rsidRPr="00231547">
              <w:rPr>
                <w:rFonts w:asciiTheme="majorHAnsi" w:eastAsia="Times New Roman" w:hAnsiTheme="majorHAnsi" w:cstheme="majorHAnsi"/>
                <w:sz w:val="24"/>
                <w:szCs w:val="24"/>
                <w:lang w:val="ro-MD"/>
              </w:rPr>
              <w:t>auditor public principal</w:t>
            </w:r>
            <w:r w:rsidRPr="00231547">
              <w:rPr>
                <w:rFonts w:asciiTheme="majorHAnsi" w:hAnsiTheme="majorHAnsi" w:cstheme="majorHAnsi"/>
                <w:b/>
                <w:sz w:val="24"/>
                <w:szCs w:val="24"/>
                <w:lang w:val="ro-MD"/>
              </w:rPr>
              <w:t xml:space="preserve">                                                  </w:t>
            </w:r>
          </w:p>
        </w:tc>
        <w:tc>
          <w:tcPr>
            <w:tcW w:w="2505" w:type="dxa"/>
          </w:tcPr>
          <w:p w14:paraId="661B11E6" w14:textId="77777777" w:rsidR="00F94936" w:rsidRPr="00231547" w:rsidRDefault="00F94936" w:rsidP="00B12D2F">
            <w:pPr>
              <w:autoSpaceDE w:val="0"/>
              <w:autoSpaceDN w:val="0"/>
              <w:adjustRightInd w:val="0"/>
              <w:spacing w:before="240" w:line="276" w:lineRule="auto"/>
              <w:jc w:val="right"/>
              <w:rPr>
                <w:rFonts w:asciiTheme="majorHAnsi" w:hAnsiTheme="majorHAnsi" w:cstheme="majorHAnsi"/>
                <w:b/>
                <w:sz w:val="24"/>
                <w:szCs w:val="24"/>
                <w:lang w:val="ro-MD"/>
              </w:rPr>
            </w:pPr>
          </w:p>
          <w:p w14:paraId="378AA2A7" w14:textId="7FDA005B" w:rsidR="00F94936" w:rsidRPr="00231547" w:rsidRDefault="00F94936" w:rsidP="00B12D2F">
            <w:pPr>
              <w:spacing w:line="276" w:lineRule="auto"/>
              <w:jc w:val="right"/>
              <w:rPr>
                <w:rFonts w:asciiTheme="majorHAnsi" w:hAnsiTheme="majorHAnsi" w:cstheme="majorHAnsi"/>
                <w:b/>
                <w:sz w:val="24"/>
                <w:szCs w:val="24"/>
                <w:lang w:val="ro-MD"/>
              </w:rPr>
            </w:pPr>
            <w:r w:rsidRPr="00231547">
              <w:rPr>
                <w:rFonts w:asciiTheme="majorHAnsi" w:hAnsiTheme="majorHAnsi" w:cstheme="majorHAnsi"/>
                <w:b/>
                <w:sz w:val="24"/>
                <w:szCs w:val="24"/>
                <w:lang w:val="ro-MD"/>
              </w:rPr>
              <w:t xml:space="preserve">Svetlana </w:t>
            </w:r>
            <w:r w:rsidR="002B2710" w:rsidRPr="00231547">
              <w:rPr>
                <w:rFonts w:asciiTheme="majorHAnsi" w:hAnsiTheme="majorHAnsi" w:cstheme="majorHAnsi"/>
                <w:b/>
                <w:sz w:val="24"/>
                <w:szCs w:val="24"/>
                <w:lang w:val="ro-MD"/>
              </w:rPr>
              <w:t>Ostafi</w:t>
            </w:r>
          </w:p>
          <w:p w14:paraId="5C8E9FC2" w14:textId="77777777" w:rsidR="00F94936" w:rsidRPr="00231547" w:rsidRDefault="00F94936" w:rsidP="00B12D2F">
            <w:pPr>
              <w:autoSpaceDE w:val="0"/>
              <w:autoSpaceDN w:val="0"/>
              <w:adjustRightInd w:val="0"/>
              <w:spacing w:before="240" w:line="276" w:lineRule="auto"/>
              <w:ind w:left="-1094" w:firstLine="1094"/>
              <w:jc w:val="right"/>
              <w:rPr>
                <w:rFonts w:asciiTheme="majorHAnsi" w:hAnsiTheme="majorHAnsi" w:cstheme="majorHAnsi"/>
                <w:sz w:val="24"/>
                <w:szCs w:val="24"/>
                <w:lang w:val="ro-MD"/>
              </w:rPr>
            </w:pPr>
          </w:p>
        </w:tc>
      </w:tr>
      <w:tr w:rsidR="00231547" w:rsidRPr="00231547" w14:paraId="2CD14A5C" w14:textId="77777777" w:rsidTr="000D19DB">
        <w:trPr>
          <w:trHeight w:val="383"/>
        </w:trPr>
        <w:tc>
          <w:tcPr>
            <w:tcW w:w="7088" w:type="dxa"/>
          </w:tcPr>
          <w:p w14:paraId="4A634BFA" w14:textId="77777777" w:rsidR="00F94936" w:rsidRPr="00231547" w:rsidRDefault="00F94936" w:rsidP="00B12D2F">
            <w:pPr>
              <w:spacing w:line="276" w:lineRule="auto"/>
              <w:rPr>
                <w:rFonts w:asciiTheme="majorHAnsi" w:eastAsia="Times New Roman" w:hAnsiTheme="majorHAnsi" w:cstheme="majorHAnsi"/>
                <w:b/>
                <w:i/>
                <w:sz w:val="24"/>
                <w:szCs w:val="24"/>
                <w:lang w:val="ro-MD"/>
              </w:rPr>
            </w:pPr>
            <w:r w:rsidRPr="00231547">
              <w:rPr>
                <w:rFonts w:asciiTheme="majorHAnsi" w:eastAsia="Times New Roman" w:hAnsiTheme="majorHAnsi" w:cstheme="majorHAnsi"/>
                <w:b/>
                <w:i/>
                <w:sz w:val="24"/>
                <w:szCs w:val="24"/>
                <w:lang w:val="ro-MD"/>
              </w:rPr>
              <w:t>Membrii echipei de audit:</w:t>
            </w:r>
          </w:p>
          <w:p w14:paraId="5E6697C0" w14:textId="77777777" w:rsidR="00F94936" w:rsidRPr="00231547" w:rsidRDefault="00F94936" w:rsidP="00B12D2F">
            <w:pPr>
              <w:spacing w:line="276" w:lineRule="auto"/>
              <w:rPr>
                <w:rFonts w:asciiTheme="majorHAnsi" w:eastAsia="Times New Roman" w:hAnsiTheme="majorHAnsi" w:cstheme="majorHAnsi"/>
                <w:sz w:val="24"/>
                <w:szCs w:val="24"/>
                <w:lang w:val="ro-MD"/>
              </w:rPr>
            </w:pPr>
            <w:r w:rsidRPr="00231547">
              <w:rPr>
                <w:rFonts w:asciiTheme="majorHAnsi" w:eastAsia="Times New Roman" w:hAnsiTheme="majorHAnsi" w:cstheme="majorHAnsi"/>
                <w:sz w:val="24"/>
                <w:szCs w:val="24"/>
                <w:lang w:val="ro-MD"/>
              </w:rPr>
              <w:t xml:space="preserve">auditor public                         </w:t>
            </w:r>
          </w:p>
        </w:tc>
        <w:tc>
          <w:tcPr>
            <w:tcW w:w="2505" w:type="dxa"/>
          </w:tcPr>
          <w:p w14:paraId="20D88A1A" w14:textId="77777777" w:rsidR="00F94936" w:rsidRPr="00231547" w:rsidRDefault="00F94936" w:rsidP="00B12D2F">
            <w:pPr>
              <w:spacing w:line="276" w:lineRule="auto"/>
              <w:ind w:left="-107"/>
              <w:jc w:val="right"/>
              <w:rPr>
                <w:rFonts w:asciiTheme="majorHAnsi" w:hAnsiTheme="majorHAnsi" w:cstheme="majorHAnsi"/>
                <w:b/>
                <w:sz w:val="24"/>
                <w:szCs w:val="24"/>
                <w:lang w:val="ro-MD"/>
              </w:rPr>
            </w:pPr>
          </w:p>
          <w:p w14:paraId="2E36C9C2" w14:textId="7AF718B7" w:rsidR="00F94936" w:rsidRPr="00231547" w:rsidRDefault="00F94936" w:rsidP="00B12D2F">
            <w:pPr>
              <w:spacing w:line="276" w:lineRule="auto"/>
              <w:ind w:left="-107"/>
              <w:jc w:val="right"/>
              <w:rPr>
                <w:rFonts w:asciiTheme="majorHAnsi" w:hAnsiTheme="majorHAnsi" w:cstheme="majorHAnsi"/>
                <w:b/>
                <w:sz w:val="24"/>
                <w:szCs w:val="24"/>
                <w:lang w:val="ro-MD"/>
              </w:rPr>
            </w:pPr>
            <w:r w:rsidRPr="00231547">
              <w:rPr>
                <w:rFonts w:asciiTheme="majorHAnsi" w:hAnsiTheme="majorHAnsi" w:cstheme="majorHAnsi"/>
                <w:b/>
                <w:sz w:val="24"/>
                <w:szCs w:val="24"/>
                <w:lang w:val="ro-MD"/>
              </w:rPr>
              <w:t xml:space="preserve">Andrei </w:t>
            </w:r>
            <w:r w:rsidR="002B2710" w:rsidRPr="00231547">
              <w:rPr>
                <w:rFonts w:asciiTheme="majorHAnsi" w:hAnsiTheme="majorHAnsi" w:cstheme="majorHAnsi"/>
                <w:b/>
                <w:sz w:val="24"/>
                <w:szCs w:val="24"/>
                <w:lang w:val="ro-MD"/>
              </w:rPr>
              <w:t>Berlinski</w:t>
            </w:r>
          </w:p>
          <w:p w14:paraId="06E6E7CE" w14:textId="77777777" w:rsidR="00F94936" w:rsidRPr="00231547" w:rsidRDefault="00F94936" w:rsidP="00B12D2F">
            <w:pPr>
              <w:spacing w:line="276" w:lineRule="auto"/>
              <w:ind w:left="-107"/>
              <w:jc w:val="right"/>
              <w:rPr>
                <w:rFonts w:asciiTheme="majorHAnsi" w:hAnsiTheme="majorHAnsi" w:cstheme="majorHAnsi"/>
                <w:b/>
                <w:sz w:val="24"/>
                <w:szCs w:val="24"/>
                <w:lang w:val="ro-MD"/>
              </w:rPr>
            </w:pPr>
          </w:p>
          <w:p w14:paraId="63577285" w14:textId="77777777" w:rsidR="00F94936" w:rsidRPr="00231547" w:rsidRDefault="00F94936" w:rsidP="00B12D2F">
            <w:pPr>
              <w:spacing w:line="276" w:lineRule="auto"/>
              <w:ind w:left="-107"/>
              <w:jc w:val="right"/>
              <w:rPr>
                <w:rFonts w:asciiTheme="majorHAnsi" w:hAnsiTheme="majorHAnsi" w:cstheme="majorHAnsi"/>
                <w:sz w:val="24"/>
                <w:szCs w:val="24"/>
                <w:lang w:val="ro-MD"/>
              </w:rPr>
            </w:pPr>
          </w:p>
        </w:tc>
      </w:tr>
      <w:tr w:rsidR="00231547" w:rsidRPr="00231547" w14:paraId="05B3A7E1" w14:textId="77777777" w:rsidTr="000D19DB">
        <w:trPr>
          <w:trHeight w:val="57"/>
        </w:trPr>
        <w:tc>
          <w:tcPr>
            <w:tcW w:w="7088" w:type="dxa"/>
          </w:tcPr>
          <w:p w14:paraId="741E706E" w14:textId="77777777" w:rsidR="00F94936" w:rsidRPr="00231547" w:rsidRDefault="00F94936" w:rsidP="00B12D2F">
            <w:pPr>
              <w:spacing w:line="276" w:lineRule="auto"/>
              <w:rPr>
                <w:rFonts w:asciiTheme="majorHAnsi" w:eastAsia="Times New Roman" w:hAnsiTheme="majorHAnsi" w:cstheme="majorHAnsi"/>
                <w:sz w:val="24"/>
                <w:szCs w:val="24"/>
                <w:lang w:val="ro-MD"/>
              </w:rPr>
            </w:pPr>
            <w:r w:rsidRPr="00231547">
              <w:rPr>
                <w:rFonts w:asciiTheme="majorHAnsi" w:eastAsia="Times New Roman" w:hAnsiTheme="majorHAnsi" w:cstheme="majorHAnsi"/>
                <w:sz w:val="24"/>
                <w:szCs w:val="24"/>
                <w:lang w:val="ro-MD"/>
              </w:rPr>
              <w:t xml:space="preserve">auditor public                                                                                                                                                                     </w:t>
            </w:r>
          </w:p>
        </w:tc>
        <w:tc>
          <w:tcPr>
            <w:tcW w:w="2505" w:type="dxa"/>
          </w:tcPr>
          <w:p w14:paraId="4ECC10F7" w14:textId="1097C033" w:rsidR="00F94936" w:rsidRPr="00231547" w:rsidRDefault="00F94936" w:rsidP="00B12D2F">
            <w:pPr>
              <w:spacing w:line="276" w:lineRule="auto"/>
              <w:ind w:left="-107"/>
              <w:jc w:val="right"/>
              <w:rPr>
                <w:rFonts w:asciiTheme="majorHAnsi" w:hAnsiTheme="majorHAnsi" w:cstheme="majorHAnsi"/>
                <w:b/>
                <w:sz w:val="24"/>
                <w:szCs w:val="24"/>
                <w:lang w:val="ro-MD"/>
              </w:rPr>
            </w:pPr>
            <w:r w:rsidRPr="00231547">
              <w:rPr>
                <w:rFonts w:asciiTheme="majorHAnsi" w:hAnsiTheme="majorHAnsi" w:cstheme="majorHAnsi"/>
                <w:b/>
                <w:sz w:val="24"/>
                <w:szCs w:val="24"/>
                <w:lang w:val="ro-MD"/>
              </w:rPr>
              <w:t xml:space="preserve">Victoria </w:t>
            </w:r>
            <w:r w:rsidR="002B2710" w:rsidRPr="00231547">
              <w:rPr>
                <w:rFonts w:asciiTheme="majorHAnsi" w:hAnsiTheme="majorHAnsi" w:cstheme="majorHAnsi"/>
                <w:b/>
                <w:sz w:val="24"/>
                <w:szCs w:val="24"/>
                <w:lang w:val="ro-MD"/>
              </w:rPr>
              <w:t>Vîlcu</w:t>
            </w:r>
          </w:p>
        </w:tc>
      </w:tr>
      <w:tr w:rsidR="00231547" w:rsidRPr="00231547" w14:paraId="3EF7E00B" w14:textId="77777777" w:rsidTr="000D19DB">
        <w:trPr>
          <w:trHeight w:val="57"/>
        </w:trPr>
        <w:tc>
          <w:tcPr>
            <w:tcW w:w="7088" w:type="dxa"/>
          </w:tcPr>
          <w:p w14:paraId="583C158A" w14:textId="77777777" w:rsidR="00F94936" w:rsidRPr="00231547" w:rsidRDefault="00F94936" w:rsidP="00B12D2F">
            <w:pPr>
              <w:spacing w:line="276" w:lineRule="auto"/>
              <w:rPr>
                <w:rFonts w:asciiTheme="majorHAnsi" w:eastAsia="Times New Roman" w:hAnsiTheme="majorHAnsi" w:cstheme="majorHAnsi"/>
                <w:sz w:val="24"/>
                <w:szCs w:val="24"/>
                <w:lang w:val="ro-MD"/>
              </w:rPr>
            </w:pPr>
          </w:p>
        </w:tc>
        <w:tc>
          <w:tcPr>
            <w:tcW w:w="2505" w:type="dxa"/>
          </w:tcPr>
          <w:p w14:paraId="14132ED2" w14:textId="77777777" w:rsidR="00F94936" w:rsidRPr="00231547" w:rsidRDefault="00F94936" w:rsidP="00B12D2F">
            <w:pPr>
              <w:spacing w:line="276" w:lineRule="auto"/>
              <w:ind w:left="-107"/>
              <w:jc w:val="right"/>
              <w:rPr>
                <w:rFonts w:asciiTheme="majorHAnsi" w:hAnsiTheme="majorHAnsi" w:cstheme="majorHAnsi"/>
                <w:b/>
                <w:sz w:val="24"/>
                <w:szCs w:val="24"/>
                <w:lang w:val="ro-MD"/>
              </w:rPr>
            </w:pPr>
          </w:p>
        </w:tc>
      </w:tr>
      <w:tr w:rsidR="00F94936" w:rsidRPr="00231547" w14:paraId="256E10D6" w14:textId="77777777" w:rsidTr="000D19DB">
        <w:trPr>
          <w:trHeight w:val="789"/>
        </w:trPr>
        <w:tc>
          <w:tcPr>
            <w:tcW w:w="7088" w:type="dxa"/>
          </w:tcPr>
          <w:p w14:paraId="465AD0D9" w14:textId="77777777" w:rsidR="00F94936" w:rsidRPr="00231547" w:rsidRDefault="00F94936" w:rsidP="00B12D2F">
            <w:pPr>
              <w:spacing w:line="276" w:lineRule="auto"/>
              <w:rPr>
                <w:rFonts w:asciiTheme="majorHAnsi" w:eastAsia="Times New Roman" w:hAnsiTheme="majorHAnsi" w:cstheme="majorHAnsi"/>
                <w:b/>
                <w:i/>
                <w:sz w:val="24"/>
                <w:szCs w:val="24"/>
                <w:lang w:val="ro-MD"/>
              </w:rPr>
            </w:pPr>
          </w:p>
          <w:p w14:paraId="250B0048" w14:textId="77777777" w:rsidR="00F94936" w:rsidRPr="00231547" w:rsidRDefault="00F94936" w:rsidP="00B12D2F">
            <w:pPr>
              <w:spacing w:line="276" w:lineRule="auto"/>
              <w:rPr>
                <w:rFonts w:asciiTheme="majorHAnsi" w:eastAsia="Times New Roman" w:hAnsiTheme="majorHAnsi" w:cstheme="majorHAnsi"/>
                <w:b/>
                <w:i/>
                <w:sz w:val="24"/>
                <w:szCs w:val="24"/>
                <w:lang w:val="ro-MD"/>
              </w:rPr>
            </w:pPr>
            <w:r w:rsidRPr="00231547">
              <w:rPr>
                <w:rFonts w:asciiTheme="majorHAnsi" w:eastAsia="Times New Roman" w:hAnsiTheme="majorHAnsi" w:cstheme="majorHAnsi"/>
                <w:b/>
                <w:i/>
                <w:sz w:val="24"/>
                <w:szCs w:val="24"/>
                <w:lang w:val="ro-MD"/>
              </w:rPr>
              <w:t>Responsabil de audit:</w:t>
            </w:r>
          </w:p>
          <w:p w14:paraId="32168FC4" w14:textId="77777777" w:rsidR="00F94936" w:rsidRPr="00231547" w:rsidRDefault="00F94936" w:rsidP="00B12D2F">
            <w:pPr>
              <w:shd w:val="clear" w:color="auto" w:fill="FFFFFF"/>
              <w:spacing w:line="276" w:lineRule="auto"/>
              <w:rPr>
                <w:rFonts w:asciiTheme="majorHAnsi" w:hAnsiTheme="majorHAnsi" w:cstheme="majorHAnsi"/>
                <w:sz w:val="24"/>
                <w:szCs w:val="24"/>
                <w:lang w:val="ro-MD"/>
              </w:rPr>
            </w:pPr>
            <w:r w:rsidRPr="00231547">
              <w:rPr>
                <w:rFonts w:asciiTheme="majorHAnsi" w:hAnsiTheme="majorHAnsi" w:cstheme="majorHAnsi"/>
                <w:sz w:val="24"/>
                <w:szCs w:val="24"/>
                <w:lang w:val="ro-MD"/>
              </w:rPr>
              <w:t>șeful Direcției generale de audit I</w:t>
            </w:r>
          </w:p>
        </w:tc>
        <w:tc>
          <w:tcPr>
            <w:tcW w:w="2505" w:type="dxa"/>
          </w:tcPr>
          <w:p w14:paraId="2696223A" w14:textId="77777777" w:rsidR="00F94936" w:rsidRPr="00231547" w:rsidRDefault="00F94936" w:rsidP="00B12D2F">
            <w:pPr>
              <w:spacing w:line="276" w:lineRule="auto"/>
              <w:jc w:val="right"/>
              <w:rPr>
                <w:rFonts w:asciiTheme="majorHAnsi" w:hAnsiTheme="majorHAnsi" w:cstheme="majorHAnsi"/>
                <w:b/>
                <w:sz w:val="24"/>
                <w:szCs w:val="24"/>
                <w:lang w:val="ro-MD"/>
              </w:rPr>
            </w:pPr>
          </w:p>
          <w:p w14:paraId="68ABE49C" w14:textId="731ED5CE" w:rsidR="00F94936" w:rsidRPr="00231547" w:rsidRDefault="00F94936" w:rsidP="00B12D2F">
            <w:pPr>
              <w:spacing w:line="276" w:lineRule="auto"/>
              <w:jc w:val="right"/>
              <w:rPr>
                <w:rFonts w:asciiTheme="majorHAnsi" w:hAnsiTheme="majorHAnsi" w:cstheme="majorHAnsi"/>
                <w:sz w:val="24"/>
                <w:szCs w:val="24"/>
                <w:lang w:val="ro-MD"/>
              </w:rPr>
            </w:pPr>
            <w:r w:rsidRPr="00231547">
              <w:rPr>
                <w:rFonts w:asciiTheme="majorHAnsi" w:hAnsiTheme="majorHAnsi" w:cstheme="majorHAnsi"/>
                <w:b/>
                <w:sz w:val="24"/>
                <w:szCs w:val="24"/>
                <w:lang w:val="ro-MD"/>
              </w:rPr>
              <w:t xml:space="preserve">Natalia </w:t>
            </w:r>
            <w:r w:rsidR="00674911" w:rsidRPr="00231547">
              <w:rPr>
                <w:rFonts w:asciiTheme="majorHAnsi" w:hAnsiTheme="majorHAnsi" w:cstheme="majorHAnsi"/>
                <w:b/>
                <w:sz w:val="24"/>
                <w:szCs w:val="24"/>
                <w:lang w:val="ro-MD"/>
              </w:rPr>
              <w:t>Trofim</w:t>
            </w:r>
          </w:p>
        </w:tc>
      </w:tr>
      <w:bookmarkEnd w:id="2"/>
      <w:bookmarkEnd w:id="3"/>
    </w:tbl>
    <w:p w14:paraId="0A88A542" w14:textId="77777777" w:rsidR="00F94936" w:rsidRPr="00231547" w:rsidRDefault="00F94936" w:rsidP="00B12D2F">
      <w:pPr>
        <w:pStyle w:val="Default"/>
        <w:spacing w:line="276" w:lineRule="auto"/>
        <w:rPr>
          <w:rFonts w:asciiTheme="majorHAnsi" w:hAnsiTheme="majorHAnsi" w:cstheme="majorHAnsi"/>
          <w:color w:val="auto"/>
          <w:lang w:val="ro-MD"/>
        </w:rPr>
      </w:pPr>
    </w:p>
    <w:p w14:paraId="37387B57" w14:textId="77777777" w:rsidR="002266B8" w:rsidRPr="00231547" w:rsidRDefault="002266B8" w:rsidP="00B12D2F">
      <w:pPr>
        <w:rPr>
          <w:rFonts w:asciiTheme="majorHAnsi" w:hAnsiTheme="majorHAnsi" w:cstheme="majorHAnsi"/>
          <w:sz w:val="24"/>
          <w:szCs w:val="24"/>
          <w:lang w:val="ro-MD"/>
        </w:rPr>
      </w:pPr>
    </w:p>
    <w:sectPr w:rsidR="002266B8" w:rsidRPr="00231547" w:rsidSect="00E5749D">
      <w:footerReference w:type="default" r:id="rId12"/>
      <w:pgSz w:w="11906" w:h="16838" w:code="9"/>
      <w:pgMar w:top="851" w:right="1196" w:bottom="153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A7E821" w14:textId="77777777" w:rsidR="00944C22" w:rsidRDefault="00944C22" w:rsidP="00F94936">
      <w:pPr>
        <w:spacing w:after="0" w:line="240" w:lineRule="auto"/>
      </w:pPr>
      <w:r>
        <w:separator/>
      </w:r>
    </w:p>
  </w:endnote>
  <w:endnote w:type="continuationSeparator" w:id="0">
    <w:p w14:paraId="45412DE9" w14:textId="77777777" w:rsidR="00944C22" w:rsidRDefault="00944C22" w:rsidP="00F94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5295584"/>
      <w:docPartObj>
        <w:docPartGallery w:val="Page Numbers (Bottom of Page)"/>
        <w:docPartUnique/>
      </w:docPartObj>
    </w:sdtPr>
    <w:sdtEndPr>
      <w:rPr>
        <w:noProof/>
      </w:rPr>
    </w:sdtEndPr>
    <w:sdtContent>
      <w:p w14:paraId="0C026E52" w14:textId="3C1C1AA5" w:rsidR="003D3DCB" w:rsidRDefault="008951BC">
        <w:pPr>
          <w:pStyle w:val="Footer"/>
          <w:jc w:val="right"/>
        </w:pPr>
        <w:r>
          <w:fldChar w:fldCharType="begin"/>
        </w:r>
        <w:r>
          <w:instrText xml:space="preserve"> PAGE   \* MERGEFORMAT </w:instrText>
        </w:r>
        <w:r>
          <w:fldChar w:fldCharType="separate"/>
        </w:r>
        <w:r w:rsidR="00F621BA">
          <w:rPr>
            <w:noProof/>
          </w:rPr>
          <w:t>9</w:t>
        </w:r>
        <w:r>
          <w:rPr>
            <w:noProof/>
          </w:rPr>
          <w:fldChar w:fldCharType="end"/>
        </w:r>
      </w:p>
    </w:sdtContent>
  </w:sdt>
  <w:p w14:paraId="544EF1FD" w14:textId="77777777" w:rsidR="003D3DCB" w:rsidRDefault="004E0F34" w:rsidP="00F6762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712793" w14:textId="77777777" w:rsidR="00944C22" w:rsidRDefault="00944C22" w:rsidP="00F94936">
      <w:pPr>
        <w:spacing w:after="0" w:line="240" w:lineRule="auto"/>
      </w:pPr>
      <w:r>
        <w:separator/>
      </w:r>
    </w:p>
  </w:footnote>
  <w:footnote w:type="continuationSeparator" w:id="0">
    <w:p w14:paraId="39F49132" w14:textId="77777777" w:rsidR="00944C22" w:rsidRDefault="00944C22" w:rsidP="00F94936">
      <w:pPr>
        <w:spacing w:after="0" w:line="240" w:lineRule="auto"/>
      </w:pPr>
      <w:r>
        <w:continuationSeparator/>
      </w:r>
    </w:p>
  </w:footnote>
  <w:footnote w:id="1">
    <w:p w14:paraId="22BFC87C" w14:textId="4571602B" w:rsidR="00F94936" w:rsidRPr="001808E7" w:rsidRDefault="00F94936" w:rsidP="009071B2">
      <w:pPr>
        <w:pStyle w:val="FootnoteText"/>
        <w:spacing w:line="276" w:lineRule="auto"/>
        <w:jc w:val="both"/>
        <w:rPr>
          <w:rFonts w:asciiTheme="majorHAnsi" w:eastAsia="Times New Roman" w:hAnsiTheme="majorHAnsi" w:cstheme="majorHAnsi"/>
          <w:sz w:val="16"/>
          <w:szCs w:val="16"/>
          <w:lang w:val="ro-MD"/>
        </w:rPr>
      </w:pPr>
      <w:r w:rsidRPr="001808E7">
        <w:rPr>
          <w:rFonts w:asciiTheme="majorHAnsi" w:eastAsia="Times New Roman" w:hAnsiTheme="majorHAnsi" w:cstheme="majorHAnsi"/>
          <w:sz w:val="16"/>
          <w:szCs w:val="16"/>
          <w:vertAlign w:val="superscript"/>
          <w:lang w:val="ro-MD"/>
        </w:rPr>
        <w:footnoteRef/>
      </w:r>
      <w:r w:rsidRPr="001808E7">
        <w:rPr>
          <w:rFonts w:asciiTheme="majorHAnsi" w:eastAsia="Times New Roman" w:hAnsiTheme="majorHAnsi" w:cstheme="majorHAnsi"/>
          <w:sz w:val="16"/>
          <w:szCs w:val="16"/>
          <w:lang w:val="ro-MD"/>
        </w:rPr>
        <w:t xml:space="preserve"> Legea contabilității nr.113-XVI din 27.04.2007; Planul de conturi contabile în sistemul bugetar și Normele metodologice privind evidența contabilă și raportarea financiară în sistemul bugetar, aprobate prin Ordinul ministrului </w:t>
      </w:r>
      <w:r w:rsidR="00FE6FD7" w:rsidRPr="001808E7">
        <w:rPr>
          <w:rFonts w:asciiTheme="majorHAnsi" w:eastAsia="Times New Roman" w:hAnsiTheme="majorHAnsi" w:cstheme="majorHAnsi"/>
          <w:sz w:val="16"/>
          <w:szCs w:val="16"/>
          <w:lang w:val="ro-MD"/>
        </w:rPr>
        <w:t>F</w:t>
      </w:r>
      <w:r w:rsidRPr="001808E7">
        <w:rPr>
          <w:rFonts w:asciiTheme="majorHAnsi" w:eastAsia="Times New Roman" w:hAnsiTheme="majorHAnsi" w:cstheme="majorHAnsi"/>
          <w:sz w:val="16"/>
          <w:szCs w:val="16"/>
          <w:lang w:val="ro-MD"/>
        </w:rPr>
        <w:t xml:space="preserve">inanțelor nr.216 din 28.12.2015; Ordinul ministrului </w:t>
      </w:r>
      <w:r w:rsidR="00FE6FD7" w:rsidRPr="001808E7">
        <w:rPr>
          <w:rFonts w:asciiTheme="majorHAnsi" w:eastAsia="Times New Roman" w:hAnsiTheme="majorHAnsi" w:cstheme="majorHAnsi"/>
          <w:sz w:val="16"/>
          <w:szCs w:val="16"/>
          <w:lang w:val="ro-MD"/>
        </w:rPr>
        <w:t>F</w:t>
      </w:r>
      <w:r w:rsidRPr="001808E7">
        <w:rPr>
          <w:rFonts w:asciiTheme="majorHAnsi" w:eastAsia="Times New Roman" w:hAnsiTheme="majorHAnsi" w:cstheme="majorHAnsi"/>
          <w:sz w:val="16"/>
          <w:szCs w:val="16"/>
          <w:lang w:val="ro-MD"/>
        </w:rPr>
        <w:t xml:space="preserve">inanțelor </w:t>
      </w:r>
      <w:r w:rsidR="003241F1" w:rsidRPr="001808E7">
        <w:rPr>
          <w:rFonts w:asciiTheme="majorHAnsi" w:eastAsia="Times New Roman" w:hAnsiTheme="majorHAnsi" w:cstheme="majorHAnsi"/>
          <w:sz w:val="16"/>
          <w:szCs w:val="16"/>
          <w:lang w:val="ro-MD"/>
        </w:rPr>
        <w:t xml:space="preserve">nr.168  din 23.12.2020 </w:t>
      </w:r>
      <w:r w:rsidR="00FE6FD7" w:rsidRPr="001808E7">
        <w:rPr>
          <w:rFonts w:asciiTheme="majorHAnsi" w:eastAsia="Times New Roman" w:hAnsiTheme="majorHAnsi" w:cstheme="majorHAnsi"/>
          <w:sz w:val="16"/>
          <w:szCs w:val="16"/>
          <w:lang w:val="ro-MD"/>
        </w:rPr>
        <w:t>„C</w:t>
      </w:r>
      <w:r w:rsidR="003241F1" w:rsidRPr="001808E7">
        <w:rPr>
          <w:rFonts w:asciiTheme="majorHAnsi" w:eastAsia="Times New Roman" w:hAnsiTheme="majorHAnsi" w:cstheme="majorHAnsi"/>
          <w:sz w:val="16"/>
          <w:szCs w:val="16"/>
          <w:lang w:val="ro-MD"/>
        </w:rPr>
        <w:t>u privire la aprobarea termenelor de prezentare a rapoartelor financiare pe anul 2020</w:t>
      </w:r>
      <w:r w:rsidRPr="001808E7">
        <w:rPr>
          <w:rFonts w:asciiTheme="majorHAnsi" w:eastAsia="Times New Roman" w:hAnsiTheme="majorHAnsi" w:cstheme="majorHAnsi"/>
          <w:sz w:val="16"/>
          <w:szCs w:val="16"/>
          <w:lang w:val="ro-MD"/>
        </w:rPr>
        <w:t xml:space="preserve">”; Ordinul ministrului </w:t>
      </w:r>
      <w:r w:rsidR="00FE6FD7" w:rsidRPr="001808E7">
        <w:rPr>
          <w:rFonts w:asciiTheme="majorHAnsi" w:eastAsia="Times New Roman" w:hAnsiTheme="majorHAnsi" w:cstheme="majorHAnsi"/>
          <w:sz w:val="16"/>
          <w:szCs w:val="16"/>
          <w:lang w:val="ro-MD"/>
        </w:rPr>
        <w:t>F</w:t>
      </w:r>
      <w:r w:rsidRPr="001808E7">
        <w:rPr>
          <w:rFonts w:asciiTheme="majorHAnsi" w:eastAsia="Times New Roman" w:hAnsiTheme="majorHAnsi" w:cstheme="majorHAnsi"/>
          <w:sz w:val="16"/>
          <w:szCs w:val="16"/>
          <w:lang w:val="ro-MD"/>
        </w:rPr>
        <w:t xml:space="preserve">inanțelor nr.164 din 30.12.2016 „Cu privire la aprobarea Cerințelor la întocmirea Raportului narativ privind executarea bugetelor autorităților/instituțiilor bugetare”. </w:t>
      </w:r>
    </w:p>
  </w:footnote>
  <w:footnote w:id="2">
    <w:p w14:paraId="327AF7F1" w14:textId="77777777" w:rsidR="00F94936" w:rsidRPr="001808E7" w:rsidRDefault="00F94936" w:rsidP="009071B2">
      <w:pPr>
        <w:pStyle w:val="FootnoteText"/>
        <w:spacing w:line="276" w:lineRule="auto"/>
        <w:jc w:val="both"/>
        <w:rPr>
          <w:rFonts w:asciiTheme="majorHAnsi" w:hAnsiTheme="majorHAnsi" w:cstheme="majorHAnsi"/>
          <w:sz w:val="16"/>
          <w:szCs w:val="16"/>
          <w:lang w:val="ro-MD"/>
        </w:rPr>
      </w:pPr>
      <w:r w:rsidRPr="001808E7">
        <w:rPr>
          <w:rStyle w:val="FootnoteReference"/>
          <w:rFonts w:asciiTheme="majorHAnsi" w:hAnsiTheme="majorHAnsi" w:cstheme="majorHAnsi"/>
          <w:sz w:val="16"/>
          <w:szCs w:val="16"/>
          <w:lang w:val="ro-MD"/>
        </w:rPr>
        <w:footnoteRef/>
      </w:r>
      <w:r w:rsidRPr="001808E7">
        <w:rPr>
          <w:rFonts w:asciiTheme="majorHAnsi" w:hAnsiTheme="majorHAnsi" w:cstheme="majorHAnsi"/>
          <w:sz w:val="16"/>
          <w:szCs w:val="16"/>
          <w:lang w:val="ro-MD"/>
        </w:rPr>
        <w:t xml:space="preserve"> Hotărârea Curții de Conturi nr.2 din 24.01.2020 „Cu privire la Cadrul Declarațiilor Profesionale ale INTOSAI”.</w:t>
      </w:r>
    </w:p>
  </w:footnote>
  <w:footnote w:id="3">
    <w:p w14:paraId="641CDCDC" w14:textId="29831E80" w:rsidR="00D170D1" w:rsidRPr="001808E7" w:rsidRDefault="00D170D1" w:rsidP="009071B2">
      <w:pPr>
        <w:pStyle w:val="FootnoteText"/>
        <w:spacing w:line="276" w:lineRule="auto"/>
        <w:jc w:val="both"/>
        <w:rPr>
          <w:rFonts w:asciiTheme="majorHAnsi" w:hAnsiTheme="majorHAnsi" w:cstheme="majorHAnsi"/>
          <w:sz w:val="16"/>
          <w:szCs w:val="16"/>
          <w:lang w:val="ro-MD"/>
        </w:rPr>
      </w:pPr>
      <w:r w:rsidRPr="001808E7">
        <w:rPr>
          <w:rStyle w:val="FootnoteReference"/>
          <w:rFonts w:asciiTheme="majorHAnsi" w:hAnsiTheme="majorHAnsi" w:cstheme="majorHAnsi"/>
          <w:sz w:val="16"/>
          <w:szCs w:val="16"/>
          <w:lang w:val="ro-MD"/>
        </w:rPr>
        <w:footnoteRef/>
      </w:r>
      <w:r w:rsidR="00FE6FD7" w:rsidRPr="001808E7">
        <w:rPr>
          <w:rFonts w:asciiTheme="majorHAnsi" w:hAnsiTheme="majorHAnsi" w:cstheme="majorHAnsi"/>
          <w:sz w:val="16"/>
          <w:szCs w:val="16"/>
          <w:lang w:val="ro-MD"/>
        </w:rPr>
        <w:t xml:space="preserve"> </w:t>
      </w:r>
      <w:r w:rsidRPr="001808E7">
        <w:rPr>
          <w:rFonts w:asciiTheme="majorHAnsi" w:hAnsiTheme="majorHAnsi" w:cstheme="majorHAnsi"/>
          <w:sz w:val="16"/>
          <w:szCs w:val="16"/>
          <w:lang w:val="ro-MD"/>
        </w:rPr>
        <w:t xml:space="preserve">Hotărârea Guvernului  nr. 201 din 28.03.2017 </w:t>
      </w:r>
      <w:r w:rsidR="0066157C" w:rsidRPr="001808E7">
        <w:rPr>
          <w:rFonts w:asciiTheme="majorHAnsi" w:hAnsiTheme="majorHAnsi" w:cstheme="majorHAnsi"/>
          <w:sz w:val="16"/>
          <w:szCs w:val="16"/>
          <w:lang w:val="ro-MD"/>
        </w:rPr>
        <w:t>„P</w:t>
      </w:r>
      <w:r w:rsidRPr="001808E7">
        <w:rPr>
          <w:rFonts w:asciiTheme="majorHAnsi" w:hAnsiTheme="majorHAnsi" w:cstheme="majorHAnsi"/>
          <w:sz w:val="16"/>
          <w:szCs w:val="16"/>
          <w:lang w:val="ro-MD"/>
        </w:rPr>
        <w:t>rivind aprobare</w:t>
      </w:r>
      <w:r w:rsidR="0066157C" w:rsidRPr="001808E7">
        <w:rPr>
          <w:rFonts w:asciiTheme="majorHAnsi" w:hAnsiTheme="majorHAnsi" w:cstheme="majorHAnsi"/>
          <w:sz w:val="16"/>
          <w:szCs w:val="16"/>
          <w:lang w:val="ro-MD"/>
        </w:rPr>
        <w:t>a</w:t>
      </w:r>
      <w:r w:rsidRPr="001808E7">
        <w:rPr>
          <w:rFonts w:asciiTheme="majorHAnsi" w:hAnsiTheme="majorHAnsi" w:cstheme="majorHAnsi"/>
          <w:sz w:val="16"/>
          <w:szCs w:val="16"/>
          <w:lang w:val="ro-MD"/>
        </w:rPr>
        <w:t xml:space="preserve"> cerințelor minime obligatorii de securitate cibernetică</w:t>
      </w:r>
      <w:r w:rsidR="0066157C" w:rsidRPr="001808E7">
        <w:rPr>
          <w:rFonts w:asciiTheme="majorHAnsi" w:hAnsiTheme="majorHAnsi" w:cstheme="majorHAnsi"/>
          <w:sz w:val="16"/>
          <w:szCs w:val="16"/>
          <w:lang w:val="ro-MD"/>
        </w:rPr>
        <w:t>”</w:t>
      </w:r>
      <w:r w:rsidRPr="001808E7">
        <w:rPr>
          <w:rFonts w:asciiTheme="majorHAnsi" w:hAnsiTheme="majorHAnsi" w:cstheme="majorHAnsi"/>
          <w:sz w:val="16"/>
          <w:szCs w:val="16"/>
          <w:lang w:val="ro-MD"/>
        </w:rPr>
        <w:t xml:space="preserve">. </w:t>
      </w:r>
    </w:p>
  </w:footnote>
  <w:footnote w:id="4">
    <w:p w14:paraId="6271C8AA" w14:textId="7FE79C3F" w:rsidR="00AA1D0E" w:rsidRPr="001808E7" w:rsidRDefault="00AA1D0E" w:rsidP="009071B2">
      <w:pPr>
        <w:pStyle w:val="FootnoteText"/>
        <w:spacing w:line="276" w:lineRule="auto"/>
        <w:jc w:val="both"/>
        <w:rPr>
          <w:rFonts w:asciiTheme="majorHAnsi" w:hAnsiTheme="majorHAnsi" w:cstheme="majorHAnsi"/>
          <w:sz w:val="16"/>
          <w:szCs w:val="16"/>
          <w:lang w:val="ro-MD"/>
        </w:rPr>
      </w:pPr>
      <w:r w:rsidRPr="001808E7">
        <w:rPr>
          <w:rStyle w:val="FootnoteReference"/>
          <w:rFonts w:asciiTheme="majorHAnsi" w:hAnsiTheme="majorHAnsi" w:cstheme="majorHAnsi"/>
          <w:sz w:val="16"/>
          <w:szCs w:val="16"/>
          <w:lang w:val="ro-MD"/>
        </w:rPr>
        <w:footnoteRef/>
      </w:r>
      <w:r w:rsidRPr="001808E7">
        <w:rPr>
          <w:rFonts w:asciiTheme="majorHAnsi" w:hAnsiTheme="majorHAnsi" w:cstheme="majorHAnsi"/>
          <w:sz w:val="16"/>
          <w:szCs w:val="16"/>
          <w:lang w:val="ro-MD"/>
        </w:rPr>
        <w:t xml:space="preserve"> Hotărârea Curții de Conturi nr.35 din 23</w:t>
      </w:r>
      <w:r w:rsidR="00982E02" w:rsidRPr="001808E7">
        <w:rPr>
          <w:rFonts w:asciiTheme="majorHAnsi" w:hAnsiTheme="majorHAnsi" w:cstheme="majorHAnsi"/>
          <w:sz w:val="16"/>
          <w:szCs w:val="16"/>
          <w:lang w:val="ro-MD"/>
        </w:rPr>
        <w:t>.07.</w:t>
      </w:r>
      <w:r w:rsidRPr="001808E7">
        <w:rPr>
          <w:rFonts w:asciiTheme="majorHAnsi" w:hAnsiTheme="majorHAnsi" w:cstheme="majorHAnsi"/>
          <w:sz w:val="16"/>
          <w:szCs w:val="16"/>
          <w:lang w:val="ro-MD"/>
        </w:rPr>
        <w:t>2020 „</w:t>
      </w:r>
      <w:r w:rsidR="0066157C" w:rsidRPr="001808E7">
        <w:rPr>
          <w:rFonts w:asciiTheme="majorHAnsi" w:hAnsiTheme="majorHAnsi" w:cstheme="majorHAnsi"/>
          <w:sz w:val="16"/>
          <w:szCs w:val="16"/>
          <w:lang w:val="ro-MD"/>
        </w:rPr>
        <w:t>C</w:t>
      </w:r>
      <w:r w:rsidRPr="001808E7">
        <w:rPr>
          <w:rFonts w:asciiTheme="majorHAnsi" w:hAnsiTheme="majorHAnsi" w:cstheme="majorHAnsi"/>
          <w:sz w:val="16"/>
          <w:szCs w:val="16"/>
          <w:lang w:val="ro-MD"/>
        </w:rPr>
        <w:t>u privire la Raportul auditului asupra rapoartelor financiare consolidate ale Ministerului Afacerilor</w:t>
      </w:r>
      <w:r w:rsidR="00FA1ECD" w:rsidRPr="001808E7">
        <w:rPr>
          <w:rFonts w:asciiTheme="majorHAnsi" w:hAnsiTheme="majorHAnsi" w:cstheme="majorHAnsi"/>
          <w:sz w:val="16"/>
          <w:szCs w:val="16"/>
          <w:lang w:val="ro-MD"/>
        </w:rPr>
        <w:t xml:space="preserve"> E</w:t>
      </w:r>
      <w:r w:rsidRPr="001808E7">
        <w:rPr>
          <w:rFonts w:asciiTheme="majorHAnsi" w:hAnsiTheme="majorHAnsi" w:cstheme="majorHAnsi"/>
          <w:sz w:val="16"/>
          <w:szCs w:val="16"/>
          <w:lang w:val="ro-MD"/>
        </w:rPr>
        <w:t>xterne și Integrării Europene încheiate la 31 decembrie 2019”.</w:t>
      </w:r>
    </w:p>
  </w:footnote>
  <w:footnote w:id="5">
    <w:p w14:paraId="7CDF94A5" w14:textId="3F6111D4" w:rsidR="00C717DF" w:rsidRPr="001808E7" w:rsidRDefault="00C717DF" w:rsidP="009071B2">
      <w:pPr>
        <w:pStyle w:val="FootnoteText"/>
        <w:spacing w:line="276" w:lineRule="auto"/>
        <w:jc w:val="both"/>
        <w:rPr>
          <w:rFonts w:asciiTheme="majorHAnsi" w:hAnsiTheme="majorHAnsi" w:cstheme="majorHAnsi"/>
          <w:sz w:val="16"/>
          <w:szCs w:val="16"/>
          <w:lang w:val="ro-MD"/>
        </w:rPr>
      </w:pPr>
      <w:r w:rsidRPr="001808E7">
        <w:rPr>
          <w:rStyle w:val="FootnoteReference"/>
          <w:rFonts w:asciiTheme="majorHAnsi" w:hAnsiTheme="majorHAnsi" w:cstheme="majorHAnsi"/>
          <w:sz w:val="16"/>
          <w:szCs w:val="16"/>
          <w:lang w:val="ro-MD"/>
        </w:rPr>
        <w:footnoteRef/>
      </w:r>
      <w:r w:rsidRPr="001808E7">
        <w:rPr>
          <w:rFonts w:asciiTheme="majorHAnsi" w:hAnsiTheme="majorHAnsi" w:cstheme="majorHAnsi"/>
          <w:sz w:val="16"/>
          <w:szCs w:val="16"/>
          <w:lang w:val="ro-MD"/>
        </w:rPr>
        <w:t xml:space="preserve"> </w:t>
      </w:r>
      <w:r w:rsidR="00FA68AF" w:rsidRPr="001808E7">
        <w:rPr>
          <w:rFonts w:asciiTheme="majorHAnsi" w:hAnsiTheme="majorHAnsi" w:cstheme="majorHAnsi"/>
          <w:sz w:val="16"/>
          <w:szCs w:val="16"/>
          <w:lang w:val="ro-MD"/>
        </w:rPr>
        <w:t>Ambasada Republicii Moldova</w:t>
      </w:r>
      <w:r w:rsidR="00AF07FF" w:rsidRPr="001808E7">
        <w:rPr>
          <w:rFonts w:asciiTheme="majorHAnsi" w:hAnsiTheme="majorHAnsi" w:cstheme="majorHAnsi"/>
          <w:sz w:val="16"/>
          <w:szCs w:val="16"/>
          <w:lang w:val="ro-MD"/>
        </w:rPr>
        <w:t xml:space="preserve"> </w:t>
      </w:r>
      <w:r w:rsidR="00FA68AF" w:rsidRPr="001808E7">
        <w:rPr>
          <w:rFonts w:asciiTheme="majorHAnsi" w:hAnsiTheme="majorHAnsi" w:cstheme="majorHAnsi"/>
          <w:sz w:val="16"/>
          <w:szCs w:val="16"/>
          <w:lang w:val="ro-MD"/>
        </w:rPr>
        <w:t>în</w:t>
      </w:r>
      <w:r w:rsidR="00AF07FF" w:rsidRPr="001808E7">
        <w:rPr>
          <w:rFonts w:asciiTheme="majorHAnsi" w:hAnsiTheme="majorHAnsi" w:cstheme="majorHAnsi"/>
          <w:sz w:val="16"/>
          <w:szCs w:val="16"/>
          <w:lang w:val="ro-MD"/>
        </w:rPr>
        <w:t xml:space="preserve"> Turcia </w:t>
      </w:r>
      <w:r w:rsidR="001B2917" w:rsidRPr="001808E7">
        <w:rPr>
          <w:rFonts w:asciiTheme="majorHAnsi" w:hAnsiTheme="majorHAnsi" w:cstheme="majorHAnsi"/>
          <w:sz w:val="16"/>
          <w:szCs w:val="16"/>
          <w:lang w:val="ro-MD"/>
        </w:rPr>
        <w:t>(0,7 mil. lei)</w:t>
      </w:r>
      <w:r w:rsidR="00AF07FF" w:rsidRPr="001808E7">
        <w:rPr>
          <w:rFonts w:asciiTheme="majorHAnsi" w:hAnsiTheme="majorHAnsi" w:cstheme="majorHAnsi"/>
          <w:sz w:val="16"/>
          <w:szCs w:val="16"/>
          <w:lang w:val="ro-MD"/>
        </w:rPr>
        <w:t>, Ambasada R</w:t>
      </w:r>
      <w:r w:rsidR="001B2917" w:rsidRPr="001808E7">
        <w:rPr>
          <w:rFonts w:asciiTheme="majorHAnsi" w:hAnsiTheme="majorHAnsi" w:cstheme="majorHAnsi"/>
          <w:sz w:val="16"/>
          <w:szCs w:val="16"/>
          <w:lang w:val="ro-MD"/>
        </w:rPr>
        <w:t xml:space="preserve">epublicii </w:t>
      </w:r>
      <w:r w:rsidR="00AF07FF" w:rsidRPr="001808E7">
        <w:rPr>
          <w:rFonts w:asciiTheme="majorHAnsi" w:hAnsiTheme="majorHAnsi" w:cstheme="majorHAnsi"/>
          <w:sz w:val="16"/>
          <w:szCs w:val="16"/>
          <w:lang w:val="ro-MD"/>
        </w:rPr>
        <w:t>M</w:t>
      </w:r>
      <w:r w:rsidR="001B2917" w:rsidRPr="001808E7">
        <w:rPr>
          <w:rFonts w:asciiTheme="majorHAnsi" w:hAnsiTheme="majorHAnsi" w:cstheme="majorHAnsi"/>
          <w:sz w:val="16"/>
          <w:szCs w:val="16"/>
          <w:lang w:val="ro-MD"/>
        </w:rPr>
        <w:t>oldova î</w:t>
      </w:r>
      <w:r w:rsidR="00AF07FF" w:rsidRPr="001808E7">
        <w:rPr>
          <w:rFonts w:asciiTheme="majorHAnsi" w:hAnsiTheme="majorHAnsi" w:cstheme="majorHAnsi"/>
          <w:sz w:val="16"/>
          <w:szCs w:val="16"/>
          <w:lang w:val="ro-MD"/>
        </w:rPr>
        <w:t>n Republica Francez</w:t>
      </w:r>
      <w:r w:rsidR="0066157C" w:rsidRPr="001808E7">
        <w:rPr>
          <w:rFonts w:asciiTheme="majorHAnsi" w:hAnsiTheme="majorHAnsi" w:cstheme="majorHAnsi"/>
          <w:sz w:val="16"/>
          <w:szCs w:val="16"/>
          <w:lang w:val="ro-MD"/>
        </w:rPr>
        <w:t>ă</w:t>
      </w:r>
      <w:r w:rsidR="001B2917" w:rsidRPr="001808E7">
        <w:rPr>
          <w:rFonts w:asciiTheme="majorHAnsi" w:hAnsiTheme="majorHAnsi" w:cstheme="majorHAnsi"/>
          <w:sz w:val="16"/>
          <w:szCs w:val="16"/>
          <w:lang w:val="ro-MD"/>
        </w:rPr>
        <w:t xml:space="preserve"> (1,5 mil. lei)</w:t>
      </w:r>
      <w:r w:rsidR="00AF07FF" w:rsidRPr="001808E7">
        <w:rPr>
          <w:rFonts w:asciiTheme="majorHAnsi" w:hAnsiTheme="majorHAnsi" w:cstheme="majorHAnsi"/>
          <w:sz w:val="16"/>
          <w:szCs w:val="16"/>
          <w:lang w:val="ro-MD"/>
        </w:rPr>
        <w:t>, Ambasada R</w:t>
      </w:r>
      <w:r w:rsidR="001B2917" w:rsidRPr="001808E7">
        <w:rPr>
          <w:rFonts w:asciiTheme="majorHAnsi" w:hAnsiTheme="majorHAnsi" w:cstheme="majorHAnsi"/>
          <w:sz w:val="16"/>
          <w:szCs w:val="16"/>
          <w:lang w:val="ro-MD"/>
        </w:rPr>
        <w:t xml:space="preserve">epublicii </w:t>
      </w:r>
      <w:r w:rsidR="00AF07FF" w:rsidRPr="001808E7">
        <w:rPr>
          <w:rFonts w:asciiTheme="majorHAnsi" w:hAnsiTheme="majorHAnsi" w:cstheme="majorHAnsi"/>
          <w:sz w:val="16"/>
          <w:szCs w:val="16"/>
          <w:lang w:val="ro-MD"/>
        </w:rPr>
        <w:t>M</w:t>
      </w:r>
      <w:r w:rsidR="001B2917" w:rsidRPr="001808E7">
        <w:rPr>
          <w:rFonts w:asciiTheme="majorHAnsi" w:hAnsiTheme="majorHAnsi" w:cstheme="majorHAnsi"/>
          <w:sz w:val="16"/>
          <w:szCs w:val="16"/>
          <w:lang w:val="ro-MD"/>
        </w:rPr>
        <w:t>oldova</w:t>
      </w:r>
      <w:r w:rsidR="00AF07FF" w:rsidRPr="001808E7">
        <w:rPr>
          <w:rFonts w:asciiTheme="majorHAnsi" w:hAnsiTheme="majorHAnsi" w:cstheme="majorHAnsi"/>
          <w:sz w:val="16"/>
          <w:szCs w:val="16"/>
          <w:lang w:val="ro-MD"/>
        </w:rPr>
        <w:t xml:space="preserve"> </w:t>
      </w:r>
      <w:r w:rsidR="001B2917" w:rsidRPr="001808E7">
        <w:rPr>
          <w:rFonts w:asciiTheme="majorHAnsi" w:hAnsiTheme="majorHAnsi" w:cstheme="majorHAnsi"/>
          <w:sz w:val="16"/>
          <w:szCs w:val="16"/>
          <w:lang w:val="ro-MD"/>
        </w:rPr>
        <w:t>î</w:t>
      </w:r>
      <w:r w:rsidR="00AF07FF" w:rsidRPr="001808E7">
        <w:rPr>
          <w:rFonts w:asciiTheme="majorHAnsi" w:hAnsiTheme="majorHAnsi" w:cstheme="majorHAnsi"/>
          <w:sz w:val="16"/>
          <w:szCs w:val="16"/>
          <w:lang w:val="ro-MD"/>
        </w:rPr>
        <w:t>n Statele Unite ale Americii</w:t>
      </w:r>
      <w:r w:rsidR="001B2917" w:rsidRPr="001808E7">
        <w:rPr>
          <w:rFonts w:asciiTheme="majorHAnsi" w:hAnsiTheme="majorHAnsi" w:cstheme="majorHAnsi"/>
          <w:sz w:val="16"/>
          <w:szCs w:val="16"/>
          <w:lang w:val="ro-MD"/>
        </w:rPr>
        <w:t xml:space="preserve"> </w:t>
      </w:r>
      <w:r w:rsidR="0066157C" w:rsidRPr="001808E7">
        <w:rPr>
          <w:rFonts w:asciiTheme="majorHAnsi" w:hAnsiTheme="majorHAnsi" w:cstheme="majorHAnsi"/>
          <w:sz w:val="16"/>
          <w:szCs w:val="16"/>
          <w:lang w:val="ro-MD"/>
        </w:rPr>
        <w:t>(</w:t>
      </w:r>
      <w:r w:rsidR="001B2917" w:rsidRPr="001808E7">
        <w:rPr>
          <w:rFonts w:asciiTheme="majorHAnsi" w:hAnsiTheme="majorHAnsi" w:cstheme="majorHAnsi"/>
          <w:sz w:val="16"/>
          <w:szCs w:val="16"/>
          <w:lang w:val="ro-MD"/>
        </w:rPr>
        <w:t>0,6 mil. lei)</w:t>
      </w:r>
      <w:r w:rsidR="00AF07FF" w:rsidRPr="001808E7">
        <w:rPr>
          <w:rFonts w:asciiTheme="majorHAnsi" w:hAnsiTheme="majorHAnsi" w:cstheme="majorHAnsi"/>
          <w:sz w:val="16"/>
          <w:szCs w:val="16"/>
          <w:lang w:val="ro-MD"/>
        </w:rPr>
        <w:t xml:space="preserve">, </w:t>
      </w:r>
      <w:r w:rsidR="001B2917" w:rsidRPr="001808E7">
        <w:rPr>
          <w:rFonts w:asciiTheme="majorHAnsi" w:hAnsiTheme="majorHAnsi" w:cstheme="majorHAnsi"/>
          <w:sz w:val="16"/>
          <w:szCs w:val="16"/>
          <w:lang w:val="ro-MD"/>
        </w:rPr>
        <w:t>Ambasada Republicii Moldova</w:t>
      </w:r>
      <w:r w:rsidR="00AF07FF" w:rsidRPr="001808E7">
        <w:rPr>
          <w:rFonts w:asciiTheme="majorHAnsi" w:hAnsiTheme="majorHAnsi" w:cstheme="majorHAnsi"/>
          <w:sz w:val="16"/>
          <w:szCs w:val="16"/>
          <w:lang w:val="ro-MD"/>
        </w:rPr>
        <w:t xml:space="preserve"> </w:t>
      </w:r>
      <w:r w:rsidR="001B2917" w:rsidRPr="001808E7">
        <w:rPr>
          <w:rFonts w:asciiTheme="majorHAnsi" w:hAnsiTheme="majorHAnsi" w:cstheme="majorHAnsi"/>
          <w:sz w:val="16"/>
          <w:szCs w:val="16"/>
          <w:lang w:val="ro-MD"/>
        </w:rPr>
        <w:t>î</w:t>
      </w:r>
      <w:r w:rsidR="00AF07FF" w:rsidRPr="001808E7">
        <w:rPr>
          <w:rFonts w:asciiTheme="majorHAnsi" w:hAnsiTheme="majorHAnsi" w:cstheme="majorHAnsi"/>
          <w:sz w:val="16"/>
          <w:szCs w:val="16"/>
          <w:lang w:val="ro-MD"/>
        </w:rPr>
        <w:t>n Regatul Spaniei</w:t>
      </w:r>
      <w:r w:rsidR="001B2917" w:rsidRPr="001808E7">
        <w:rPr>
          <w:rFonts w:asciiTheme="majorHAnsi" w:hAnsiTheme="majorHAnsi" w:cstheme="majorHAnsi"/>
          <w:sz w:val="16"/>
          <w:szCs w:val="16"/>
          <w:lang w:val="ro-MD"/>
        </w:rPr>
        <w:t xml:space="preserve"> (0,7 mil. lei).     </w:t>
      </w:r>
    </w:p>
  </w:footnote>
  <w:footnote w:id="6">
    <w:p w14:paraId="153DEAB2" w14:textId="09F5B947" w:rsidR="00AF07FF" w:rsidRPr="001808E7" w:rsidRDefault="00AF07FF" w:rsidP="009071B2">
      <w:pPr>
        <w:pStyle w:val="FootnoteText"/>
        <w:spacing w:line="276" w:lineRule="auto"/>
        <w:jc w:val="both"/>
        <w:rPr>
          <w:rFonts w:asciiTheme="majorHAnsi" w:hAnsiTheme="majorHAnsi" w:cstheme="majorHAnsi"/>
          <w:sz w:val="16"/>
          <w:szCs w:val="16"/>
          <w:lang w:val="ro-MD"/>
        </w:rPr>
      </w:pPr>
      <w:r w:rsidRPr="001808E7">
        <w:rPr>
          <w:rStyle w:val="FootnoteReference"/>
          <w:rFonts w:asciiTheme="majorHAnsi" w:hAnsiTheme="majorHAnsi" w:cstheme="majorHAnsi"/>
          <w:sz w:val="16"/>
          <w:szCs w:val="16"/>
          <w:lang w:val="ro-MD"/>
        </w:rPr>
        <w:footnoteRef/>
      </w:r>
      <w:r w:rsidRPr="001808E7">
        <w:rPr>
          <w:rFonts w:asciiTheme="majorHAnsi" w:hAnsiTheme="majorHAnsi" w:cstheme="majorHAnsi"/>
          <w:sz w:val="16"/>
          <w:szCs w:val="16"/>
          <w:lang w:val="ro-MD"/>
        </w:rPr>
        <w:t xml:space="preserve"> </w:t>
      </w:r>
      <w:r w:rsidR="00D4347C" w:rsidRPr="001808E7">
        <w:rPr>
          <w:rFonts w:asciiTheme="majorHAnsi" w:hAnsiTheme="majorHAnsi" w:cstheme="majorHAnsi"/>
          <w:sz w:val="16"/>
          <w:szCs w:val="16"/>
          <w:lang w:val="ro-MD"/>
        </w:rPr>
        <w:t>Ambasada Republicii Moldova în Republica Francez</w:t>
      </w:r>
      <w:r w:rsidR="0066157C" w:rsidRPr="001808E7">
        <w:rPr>
          <w:rFonts w:asciiTheme="majorHAnsi" w:hAnsiTheme="majorHAnsi" w:cstheme="majorHAnsi"/>
          <w:sz w:val="16"/>
          <w:szCs w:val="16"/>
          <w:lang w:val="ro-MD"/>
        </w:rPr>
        <w:t>ă</w:t>
      </w:r>
      <w:r w:rsidR="00D4347C" w:rsidRPr="001808E7">
        <w:rPr>
          <w:rFonts w:asciiTheme="majorHAnsi" w:hAnsiTheme="majorHAnsi" w:cstheme="majorHAnsi"/>
          <w:sz w:val="16"/>
          <w:szCs w:val="16"/>
          <w:lang w:val="ro-MD"/>
        </w:rPr>
        <w:t xml:space="preserve"> (1,5 mil. lei), Ambasada Republicii Moldova în Regatul Spaniei (0,7 mil. lei).     </w:t>
      </w:r>
    </w:p>
  </w:footnote>
  <w:footnote w:id="7">
    <w:p w14:paraId="44E05BF2" w14:textId="14EC144E" w:rsidR="006B0D9C" w:rsidRPr="001808E7" w:rsidRDefault="006B0D9C" w:rsidP="009071B2">
      <w:pPr>
        <w:pStyle w:val="FootnoteText"/>
        <w:spacing w:line="276" w:lineRule="auto"/>
        <w:jc w:val="both"/>
        <w:rPr>
          <w:rFonts w:asciiTheme="majorHAnsi" w:hAnsiTheme="majorHAnsi" w:cstheme="majorHAnsi"/>
          <w:sz w:val="16"/>
          <w:szCs w:val="16"/>
          <w:lang w:val="ro-MD"/>
        </w:rPr>
      </w:pPr>
      <w:r w:rsidRPr="001808E7">
        <w:rPr>
          <w:rStyle w:val="FootnoteReference"/>
          <w:rFonts w:asciiTheme="majorHAnsi" w:hAnsiTheme="majorHAnsi" w:cstheme="majorHAnsi"/>
          <w:sz w:val="16"/>
          <w:szCs w:val="16"/>
          <w:lang w:val="ro-MD"/>
        </w:rPr>
        <w:footnoteRef/>
      </w:r>
      <w:r w:rsidRPr="001808E7">
        <w:rPr>
          <w:rFonts w:asciiTheme="majorHAnsi" w:hAnsiTheme="majorHAnsi" w:cstheme="majorHAnsi"/>
          <w:sz w:val="16"/>
          <w:szCs w:val="16"/>
          <w:lang w:val="ro-MD"/>
        </w:rPr>
        <w:t xml:space="preserve"> Consulatul General al Republicii Moldova la Frankfurt pe Main (Mercedes Benz  E 280/anul 2005/preț 16,6 mii lei), Ambasada Republicii Moldova in Republica Cehă (BMW 525i/anul 2007/preț 35,4 mii lei), Ambasada Republicii Moldova în Ucraina (Audi A6/preț 54,7 mii lei</w:t>
      </w:r>
      <w:r w:rsidR="00F80C34" w:rsidRPr="001808E7">
        <w:rPr>
          <w:rFonts w:asciiTheme="majorHAnsi" w:hAnsiTheme="majorHAnsi" w:cstheme="majorHAnsi"/>
          <w:sz w:val="16"/>
          <w:szCs w:val="16"/>
          <w:lang w:val="ro-MD"/>
        </w:rPr>
        <w:t>).</w:t>
      </w:r>
      <w:r w:rsidRPr="001808E7">
        <w:rPr>
          <w:rFonts w:asciiTheme="majorHAnsi" w:hAnsiTheme="majorHAnsi" w:cstheme="majorHAnsi"/>
          <w:sz w:val="16"/>
          <w:szCs w:val="16"/>
          <w:lang w:val="ro-MD"/>
        </w:rPr>
        <w:t xml:space="preserve">                                                                                                                  </w:t>
      </w:r>
    </w:p>
  </w:footnote>
  <w:footnote w:id="8">
    <w:p w14:paraId="05490F1A" w14:textId="40046F2E" w:rsidR="00DD5453" w:rsidRPr="001808E7" w:rsidRDefault="00DD5453" w:rsidP="009071B2">
      <w:pPr>
        <w:pStyle w:val="FootnoteText"/>
        <w:spacing w:line="276" w:lineRule="auto"/>
        <w:jc w:val="both"/>
        <w:rPr>
          <w:rFonts w:asciiTheme="majorHAnsi" w:hAnsiTheme="majorHAnsi" w:cstheme="majorHAnsi"/>
          <w:sz w:val="16"/>
          <w:szCs w:val="16"/>
          <w:lang w:val="ro-MD"/>
        </w:rPr>
      </w:pPr>
      <w:r w:rsidRPr="001808E7">
        <w:rPr>
          <w:rStyle w:val="FootnoteReference"/>
          <w:rFonts w:asciiTheme="majorHAnsi" w:hAnsiTheme="majorHAnsi" w:cstheme="majorHAnsi"/>
          <w:sz w:val="16"/>
          <w:szCs w:val="16"/>
          <w:lang w:val="ro-MD"/>
        </w:rPr>
        <w:footnoteRef/>
      </w:r>
      <w:r w:rsidRPr="001808E7">
        <w:rPr>
          <w:rFonts w:asciiTheme="majorHAnsi" w:hAnsiTheme="majorHAnsi" w:cstheme="majorHAnsi"/>
          <w:sz w:val="16"/>
          <w:szCs w:val="16"/>
          <w:lang w:val="ro-MD"/>
        </w:rPr>
        <w:t xml:space="preserve"> Ambasada Republicii Moldova în Federația Rusă, Ambasada Republicii Moldova în România, Reprezentanța Republicii Moldova pe l</w:t>
      </w:r>
      <w:r w:rsidR="00982E02" w:rsidRPr="001808E7">
        <w:rPr>
          <w:rFonts w:asciiTheme="majorHAnsi" w:hAnsiTheme="majorHAnsi" w:cstheme="majorHAnsi"/>
          <w:sz w:val="16"/>
          <w:szCs w:val="16"/>
          <w:lang w:val="ro-MD"/>
        </w:rPr>
        <w:t>â</w:t>
      </w:r>
      <w:r w:rsidRPr="001808E7">
        <w:rPr>
          <w:rFonts w:asciiTheme="majorHAnsi" w:hAnsiTheme="majorHAnsi" w:cstheme="majorHAnsi"/>
          <w:sz w:val="16"/>
          <w:szCs w:val="16"/>
          <w:lang w:val="ro-MD"/>
        </w:rPr>
        <w:t xml:space="preserve">ngă </w:t>
      </w:r>
      <w:r w:rsidR="00982E02" w:rsidRPr="001808E7">
        <w:rPr>
          <w:rFonts w:asciiTheme="majorHAnsi" w:hAnsiTheme="majorHAnsi" w:cstheme="majorHAnsi"/>
          <w:sz w:val="16"/>
          <w:szCs w:val="16"/>
          <w:lang w:val="ro-MD"/>
        </w:rPr>
        <w:t>O</w:t>
      </w:r>
      <w:r w:rsidRPr="001808E7">
        <w:rPr>
          <w:rFonts w:asciiTheme="majorHAnsi" w:hAnsiTheme="majorHAnsi" w:cstheme="majorHAnsi"/>
          <w:sz w:val="16"/>
          <w:szCs w:val="16"/>
          <w:lang w:val="ro-MD"/>
        </w:rPr>
        <w:t xml:space="preserve">ficiul ONU </w:t>
      </w:r>
      <w:r w:rsidR="004F5000" w:rsidRPr="001808E7">
        <w:rPr>
          <w:rFonts w:asciiTheme="majorHAnsi" w:hAnsiTheme="majorHAnsi" w:cstheme="majorHAnsi"/>
          <w:sz w:val="16"/>
          <w:szCs w:val="16"/>
          <w:lang w:val="ro-MD"/>
        </w:rPr>
        <w:t>la</w:t>
      </w:r>
      <w:r w:rsidRPr="001808E7">
        <w:rPr>
          <w:rFonts w:asciiTheme="majorHAnsi" w:hAnsiTheme="majorHAnsi" w:cstheme="majorHAnsi"/>
          <w:sz w:val="16"/>
          <w:szCs w:val="16"/>
          <w:lang w:val="ro-MD"/>
        </w:rPr>
        <w:t xml:space="preserve"> Geneva</w:t>
      </w:r>
      <w:r w:rsidR="004F5000" w:rsidRPr="001808E7">
        <w:rPr>
          <w:rFonts w:asciiTheme="majorHAnsi" w:hAnsiTheme="majorHAnsi" w:cstheme="majorHAnsi"/>
          <w:sz w:val="16"/>
          <w:szCs w:val="16"/>
          <w:lang w:val="ro-MD"/>
        </w:rPr>
        <w:t xml:space="preserve"> </w:t>
      </w:r>
      <w:r w:rsidRPr="001808E7">
        <w:rPr>
          <w:rFonts w:asciiTheme="majorHAnsi" w:hAnsiTheme="majorHAnsi" w:cstheme="majorHAnsi"/>
          <w:sz w:val="16"/>
          <w:szCs w:val="16"/>
          <w:lang w:val="ro-MD"/>
        </w:rPr>
        <w:t>(Confederația Elvețian</w:t>
      </w:r>
      <w:r w:rsidR="004F5000" w:rsidRPr="001808E7">
        <w:rPr>
          <w:rFonts w:asciiTheme="majorHAnsi" w:hAnsiTheme="majorHAnsi" w:cstheme="majorHAnsi"/>
          <w:sz w:val="16"/>
          <w:szCs w:val="16"/>
          <w:lang w:val="ro-MD"/>
        </w:rPr>
        <w:t>ă</w:t>
      </w:r>
      <w:r w:rsidRPr="001808E7">
        <w:rPr>
          <w:rFonts w:asciiTheme="majorHAnsi" w:hAnsiTheme="majorHAnsi" w:cstheme="majorHAnsi"/>
          <w:sz w:val="16"/>
          <w:szCs w:val="16"/>
          <w:lang w:val="ro-MD"/>
        </w:rPr>
        <w:t>),</w:t>
      </w:r>
      <w:r w:rsidR="004F5000" w:rsidRPr="001808E7">
        <w:rPr>
          <w:rFonts w:asciiTheme="majorHAnsi" w:hAnsiTheme="majorHAnsi" w:cstheme="majorHAnsi"/>
          <w:sz w:val="16"/>
          <w:szCs w:val="16"/>
          <w:lang w:val="ro-MD"/>
        </w:rPr>
        <w:t xml:space="preserve"> </w:t>
      </w:r>
      <w:r w:rsidRPr="001808E7">
        <w:rPr>
          <w:rFonts w:asciiTheme="majorHAnsi" w:hAnsiTheme="majorHAnsi" w:cstheme="majorHAnsi"/>
          <w:sz w:val="16"/>
          <w:szCs w:val="16"/>
          <w:lang w:val="ro-MD"/>
        </w:rPr>
        <w:t xml:space="preserve">Ambasada Republicii Moldova </w:t>
      </w:r>
      <w:r w:rsidR="004F5000" w:rsidRPr="001808E7">
        <w:rPr>
          <w:rFonts w:asciiTheme="majorHAnsi" w:hAnsiTheme="majorHAnsi" w:cstheme="majorHAnsi"/>
          <w:sz w:val="16"/>
          <w:szCs w:val="16"/>
          <w:lang w:val="ro-MD"/>
        </w:rPr>
        <w:t>î</w:t>
      </w:r>
      <w:r w:rsidRPr="001808E7">
        <w:rPr>
          <w:rFonts w:asciiTheme="majorHAnsi" w:hAnsiTheme="majorHAnsi" w:cstheme="majorHAnsi"/>
          <w:sz w:val="16"/>
          <w:szCs w:val="16"/>
          <w:lang w:val="ro-MD"/>
        </w:rPr>
        <w:t>n Statele Unite ale Americii, Ambasada Republicii Moldova în Republica Italian</w:t>
      </w:r>
      <w:r w:rsidR="004F5000" w:rsidRPr="001808E7">
        <w:rPr>
          <w:rFonts w:asciiTheme="majorHAnsi" w:hAnsiTheme="majorHAnsi" w:cstheme="majorHAnsi"/>
          <w:sz w:val="16"/>
          <w:szCs w:val="16"/>
          <w:lang w:val="ro-MD"/>
        </w:rPr>
        <w:t>ă</w:t>
      </w:r>
      <w:r w:rsidRPr="001808E7">
        <w:rPr>
          <w:rFonts w:asciiTheme="majorHAnsi" w:hAnsiTheme="majorHAnsi" w:cstheme="majorHAnsi"/>
          <w:sz w:val="16"/>
          <w:szCs w:val="16"/>
          <w:lang w:val="ro-MD"/>
        </w:rPr>
        <w:t>, Ambasada Republicii Moldova în Republica Federală Germania.</w:t>
      </w:r>
    </w:p>
  </w:footnote>
  <w:footnote w:id="9">
    <w:p w14:paraId="5ED51BF4" w14:textId="77777777" w:rsidR="00DD5453" w:rsidRPr="001808E7" w:rsidRDefault="00DD5453" w:rsidP="009071B2">
      <w:pPr>
        <w:pStyle w:val="FootnoteText"/>
        <w:spacing w:line="276" w:lineRule="auto"/>
        <w:jc w:val="both"/>
        <w:rPr>
          <w:rFonts w:asciiTheme="majorHAnsi" w:hAnsiTheme="majorHAnsi" w:cstheme="majorHAnsi"/>
          <w:sz w:val="16"/>
          <w:szCs w:val="16"/>
          <w:lang w:val="ro-MD"/>
        </w:rPr>
      </w:pPr>
      <w:r w:rsidRPr="001808E7">
        <w:rPr>
          <w:rStyle w:val="FootnoteReference"/>
          <w:rFonts w:asciiTheme="majorHAnsi" w:hAnsiTheme="majorHAnsi" w:cstheme="majorHAnsi"/>
          <w:sz w:val="16"/>
          <w:szCs w:val="16"/>
          <w:lang w:val="ro-MD"/>
        </w:rPr>
        <w:footnoteRef/>
      </w:r>
      <w:r w:rsidRPr="001808E7">
        <w:rPr>
          <w:rFonts w:asciiTheme="majorHAnsi" w:hAnsiTheme="majorHAnsi" w:cstheme="majorHAnsi"/>
          <w:sz w:val="16"/>
          <w:szCs w:val="16"/>
          <w:lang w:val="ro-MD"/>
        </w:rPr>
        <w:t xml:space="preserve"> Regulamentul privind activitatea administrativ-financiară a instituțiilor serviciului diplomatic al Republicii Moldova peste hotare, aprobat prin Hotărârea Guvernului nr. 987 din 11.08.2003.</w:t>
      </w:r>
    </w:p>
  </w:footnote>
  <w:footnote w:id="10">
    <w:p w14:paraId="79FBAE56" w14:textId="77777777" w:rsidR="00E5749D" w:rsidRPr="001808E7" w:rsidRDefault="00E5749D" w:rsidP="009071B2">
      <w:pPr>
        <w:pStyle w:val="FootnoteText"/>
        <w:spacing w:line="276" w:lineRule="auto"/>
        <w:jc w:val="both"/>
        <w:rPr>
          <w:rFonts w:asciiTheme="majorHAnsi" w:hAnsiTheme="majorHAnsi" w:cstheme="majorHAnsi"/>
          <w:sz w:val="16"/>
          <w:szCs w:val="16"/>
          <w:lang w:val="ro-MD"/>
        </w:rPr>
      </w:pPr>
      <w:r w:rsidRPr="001808E7">
        <w:rPr>
          <w:rStyle w:val="FootnoteReference"/>
          <w:rFonts w:asciiTheme="majorHAnsi" w:hAnsiTheme="majorHAnsi" w:cstheme="majorHAnsi"/>
          <w:sz w:val="16"/>
          <w:szCs w:val="16"/>
          <w:lang w:val="ro-MD"/>
        </w:rPr>
        <w:footnoteRef/>
      </w:r>
      <w:r w:rsidRPr="001808E7">
        <w:rPr>
          <w:rFonts w:asciiTheme="majorHAnsi" w:hAnsiTheme="majorHAnsi" w:cstheme="majorHAnsi"/>
          <w:sz w:val="16"/>
          <w:szCs w:val="16"/>
          <w:lang w:val="ro-MD"/>
        </w:rPr>
        <w:t xml:space="preserve"> Ambasada Republicii Moldova în Federația Rusă, Ambasada Republicii Moldova în Republica Elenă, Consulatul General al Republicii Moldova în orașul Iași (România), Ambasada Republicii Moldova în Japonia, Ambasada Republicii Moldova în Republica Belarus.</w:t>
      </w:r>
    </w:p>
  </w:footnote>
  <w:footnote w:id="11">
    <w:p w14:paraId="0E201521" w14:textId="0F3BDA94" w:rsidR="009231B5" w:rsidRPr="001808E7" w:rsidRDefault="009231B5" w:rsidP="009071B2">
      <w:pPr>
        <w:pStyle w:val="FootnoteText"/>
        <w:spacing w:line="276" w:lineRule="auto"/>
        <w:rPr>
          <w:rFonts w:asciiTheme="majorHAnsi" w:hAnsiTheme="majorHAnsi" w:cstheme="majorHAnsi"/>
          <w:sz w:val="16"/>
          <w:szCs w:val="16"/>
          <w:lang w:val="ro-MD"/>
        </w:rPr>
      </w:pPr>
      <w:r w:rsidRPr="001808E7">
        <w:rPr>
          <w:rStyle w:val="FootnoteReference"/>
          <w:rFonts w:asciiTheme="majorHAnsi" w:hAnsiTheme="majorHAnsi" w:cstheme="majorHAnsi"/>
          <w:sz w:val="16"/>
          <w:szCs w:val="16"/>
          <w:lang w:val="ro-MD"/>
        </w:rPr>
        <w:footnoteRef/>
      </w:r>
      <w:r w:rsidRPr="001808E7">
        <w:rPr>
          <w:rFonts w:asciiTheme="majorHAnsi" w:hAnsiTheme="majorHAnsi" w:cstheme="majorHAnsi"/>
          <w:sz w:val="16"/>
          <w:szCs w:val="16"/>
          <w:lang w:val="ro-MD"/>
        </w:rPr>
        <w:t xml:space="preserve"> Curtea de Conturi a </w:t>
      </w:r>
      <w:r w:rsidR="0077028F" w:rsidRPr="001808E7">
        <w:rPr>
          <w:rFonts w:asciiTheme="majorHAnsi" w:hAnsiTheme="majorHAnsi" w:cstheme="majorHAnsi"/>
          <w:sz w:val="16"/>
          <w:szCs w:val="16"/>
          <w:lang w:val="ro-MD"/>
        </w:rPr>
        <w:t xml:space="preserve">expediat </w:t>
      </w:r>
      <w:r w:rsidRPr="001808E7">
        <w:rPr>
          <w:rFonts w:asciiTheme="majorHAnsi" w:hAnsiTheme="majorHAnsi" w:cstheme="majorHAnsi"/>
          <w:sz w:val="16"/>
          <w:szCs w:val="16"/>
          <w:lang w:val="ro-MD"/>
        </w:rPr>
        <w:t>solicitare</w:t>
      </w:r>
      <w:r w:rsidR="0077028F" w:rsidRPr="001808E7">
        <w:rPr>
          <w:rFonts w:asciiTheme="majorHAnsi" w:hAnsiTheme="majorHAnsi" w:cstheme="majorHAnsi"/>
          <w:sz w:val="16"/>
          <w:szCs w:val="16"/>
          <w:lang w:val="ro-MD"/>
        </w:rPr>
        <w:t>a</w:t>
      </w:r>
      <w:r w:rsidRPr="001808E7">
        <w:rPr>
          <w:rFonts w:asciiTheme="majorHAnsi" w:hAnsiTheme="majorHAnsi" w:cstheme="majorHAnsi"/>
          <w:sz w:val="16"/>
          <w:szCs w:val="16"/>
          <w:lang w:val="ro-MD"/>
        </w:rPr>
        <w:t xml:space="preserve"> </w:t>
      </w:r>
      <w:r w:rsidR="0077028F" w:rsidRPr="001808E7">
        <w:rPr>
          <w:rFonts w:asciiTheme="majorHAnsi" w:hAnsiTheme="majorHAnsi" w:cstheme="majorHAnsi"/>
          <w:sz w:val="16"/>
          <w:szCs w:val="16"/>
          <w:lang w:val="ro-MD"/>
        </w:rPr>
        <w:t xml:space="preserve">nr. 07-192-21 din 03.03.2021 </w:t>
      </w:r>
      <w:r w:rsidRPr="001808E7">
        <w:rPr>
          <w:rFonts w:asciiTheme="majorHAnsi" w:hAnsiTheme="majorHAnsi" w:cstheme="majorHAnsi"/>
          <w:sz w:val="16"/>
          <w:szCs w:val="16"/>
          <w:lang w:val="ro-MD"/>
        </w:rPr>
        <w:t>Inspectoratul</w:t>
      </w:r>
      <w:r w:rsidR="0077028F" w:rsidRPr="001808E7">
        <w:rPr>
          <w:rFonts w:asciiTheme="majorHAnsi" w:hAnsiTheme="majorHAnsi" w:cstheme="majorHAnsi"/>
          <w:sz w:val="16"/>
          <w:szCs w:val="16"/>
          <w:lang w:val="ro-MD"/>
        </w:rPr>
        <w:t>ui</w:t>
      </w:r>
      <w:r w:rsidRPr="001808E7">
        <w:rPr>
          <w:rFonts w:asciiTheme="majorHAnsi" w:hAnsiTheme="majorHAnsi" w:cstheme="majorHAnsi"/>
          <w:sz w:val="16"/>
          <w:szCs w:val="16"/>
          <w:lang w:val="ro-MD"/>
        </w:rPr>
        <w:t xml:space="preserve"> General al Poliției de Frontieră. Răspunsul Inspectoratului General al Poliției de Frontieră nr. 35/7-4/1317 din 10.03.2021. Alte date din evidența contabilă. Date conform foii de parcurs la 31.12.2</w:t>
      </w:r>
      <w:r w:rsidR="0077028F" w:rsidRPr="001808E7">
        <w:rPr>
          <w:rFonts w:asciiTheme="majorHAnsi" w:hAnsiTheme="majorHAnsi" w:cstheme="majorHAnsi"/>
          <w:sz w:val="16"/>
          <w:szCs w:val="16"/>
          <w:lang w:val="ro-MD"/>
        </w:rPr>
        <w:t>02</w:t>
      </w:r>
      <w:r w:rsidRPr="001808E7">
        <w:rPr>
          <w:rFonts w:asciiTheme="majorHAnsi" w:hAnsiTheme="majorHAnsi" w:cstheme="majorHAnsi"/>
          <w:sz w:val="16"/>
          <w:szCs w:val="16"/>
          <w:lang w:val="ro-MD"/>
        </w:rPr>
        <w:t>0</w:t>
      </w:r>
      <w:r w:rsidR="0077028F" w:rsidRPr="001808E7">
        <w:rPr>
          <w:rFonts w:asciiTheme="majorHAnsi" w:hAnsiTheme="majorHAnsi" w:cstheme="majorHAnsi"/>
          <w:sz w:val="16"/>
          <w:szCs w:val="16"/>
          <w:lang w:val="ro-MD"/>
        </w:rPr>
        <w:t>.</w:t>
      </w:r>
    </w:p>
  </w:footnote>
  <w:footnote w:id="12">
    <w:p w14:paraId="28E1CC99" w14:textId="063D0D1A" w:rsidR="00F93FD8" w:rsidRPr="001808E7" w:rsidRDefault="00F93FD8" w:rsidP="009071B2">
      <w:pPr>
        <w:pStyle w:val="FootnoteText"/>
        <w:spacing w:line="276" w:lineRule="auto"/>
        <w:jc w:val="both"/>
        <w:rPr>
          <w:rFonts w:asciiTheme="majorHAnsi" w:hAnsiTheme="majorHAnsi" w:cstheme="majorHAnsi"/>
          <w:sz w:val="16"/>
          <w:szCs w:val="16"/>
          <w:lang w:val="ro-MD"/>
        </w:rPr>
      </w:pPr>
      <w:r w:rsidRPr="001808E7">
        <w:rPr>
          <w:rStyle w:val="FootnoteReference"/>
          <w:rFonts w:asciiTheme="majorHAnsi" w:hAnsiTheme="majorHAnsi" w:cstheme="majorHAnsi"/>
          <w:sz w:val="16"/>
          <w:szCs w:val="16"/>
          <w:lang w:val="ro-MD"/>
        </w:rPr>
        <w:footnoteRef/>
      </w:r>
      <w:r w:rsidRPr="001808E7">
        <w:rPr>
          <w:rFonts w:asciiTheme="majorHAnsi" w:hAnsiTheme="majorHAnsi" w:cstheme="majorHAnsi"/>
          <w:sz w:val="16"/>
          <w:szCs w:val="16"/>
          <w:lang w:val="ro-MD"/>
        </w:rPr>
        <w:t xml:space="preserve"> Ambasada Republicii Moldova în Republica Federală German</w:t>
      </w:r>
      <w:r w:rsidR="004F5000" w:rsidRPr="001808E7">
        <w:rPr>
          <w:rFonts w:asciiTheme="majorHAnsi" w:hAnsiTheme="majorHAnsi" w:cstheme="majorHAnsi"/>
          <w:sz w:val="16"/>
          <w:szCs w:val="16"/>
          <w:lang w:val="ro-MD"/>
        </w:rPr>
        <w:t>ia</w:t>
      </w:r>
      <w:r w:rsidRPr="001808E7">
        <w:rPr>
          <w:rFonts w:asciiTheme="majorHAnsi" w:hAnsiTheme="majorHAnsi" w:cstheme="majorHAnsi"/>
          <w:sz w:val="16"/>
          <w:szCs w:val="16"/>
          <w:lang w:val="ro-MD"/>
        </w:rPr>
        <w:t>, Ambasada Republicii Moldova în Ucraina, Ambasada Republicii Moldova în Cehia, Ambasada Republicii Moldova în Republica Belarus, Ambasada Republicii Moldova în România, Ambasada Repu</w:t>
      </w:r>
      <w:r w:rsidR="00432A02" w:rsidRPr="001808E7">
        <w:rPr>
          <w:rFonts w:asciiTheme="majorHAnsi" w:hAnsiTheme="majorHAnsi" w:cstheme="majorHAnsi"/>
          <w:sz w:val="16"/>
          <w:szCs w:val="16"/>
          <w:lang w:val="ro-MD"/>
        </w:rPr>
        <w:t>blicii Moldova în Austria</w:t>
      </w:r>
      <w:r w:rsidRPr="001808E7">
        <w:rPr>
          <w:rFonts w:asciiTheme="majorHAnsi" w:hAnsiTheme="majorHAnsi" w:cstheme="majorHAnsi"/>
          <w:sz w:val="16"/>
          <w:szCs w:val="16"/>
          <w:lang w:val="ro-MD"/>
        </w:rPr>
        <w:t>, Consulatul Republicii Moldova la Odessa (Ucraina), Consulatul Republicii Moldova la Iași (România).</w:t>
      </w:r>
    </w:p>
  </w:footnote>
  <w:footnote w:id="13">
    <w:p w14:paraId="7972D58E" w14:textId="509FCA00" w:rsidR="00F93FD8" w:rsidRPr="001808E7" w:rsidRDefault="00F93FD8" w:rsidP="009071B2">
      <w:pPr>
        <w:pStyle w:val="FootnoteText"/>
        <w:spacing w:line="276" w:lineRule="auto"/>
        <w:jc w:val="both"/>
        <w:rPr>
          <w:rFonts w:asciiTheme="majorHAnsi" w:hAnsiTheme="majorHAnsi" w:cstheme="majorHAnsi"/>
          <w:sz w:val="16"/>
          <w:szCs w:val="16"/>
          <w:lang w:val="ro-MD"/>
        </w:rPr>
      </w:pPr>
      <w:r w:rsidRPr="001808E7">
        <w:rPr>
          <w:rStyle w:val="FootnoteReference"/>
          <w:rFonts w:asciiTheme="majorHAnsi" w:hAnsiTheme="majorHAnsi" w:cstheme="majorHAnsi"/>
          <w:sz w:val="16"/>
          <w:szCs w:val="16"/>
          <w:lang w:val="ro-MD"/>
        </w:rPr>
        <w:footnoteRef/>
      </w:r>
      <w:r w:rsidRPr="001808E7">
        <w:rPr>
          <w:rFonts w:asciiTheme="majorHAnsi" w:hAnsiTheme="majorHAnsi" w:cstheme="majorHAnsi"/>
          <w:sz w:val="16"/>
          <w:szCs w:val="16"/>
          <w:lang w:val="ro-MD"/>
        </w:rPr>
        <w:t xml:space="preserve"> Consulatul Republicii Moldova la Odessa (2 deplasări fără ordin), Ambasada Republicii Moldova în Austria.</w:t>
      </w:r>
    </w:p>
  </w:footnote>
  <w:footnote w:id="14">
    <w:p w14:paraId="4577AFD5" w14:textId="23806090" w:rsidR="00F93FD8" w:rsidRPr="001808E7" w:rsidRDefault="00F93FD8" w:rsidP="009071B2">
      <w:pPr>
        <w:pStyle w:val="FootnoteText"/>
        <w:spacing w:line="276" w:lineRule="auto"/>
        <w:jc w:val="both"/>
        <w:rPr>
          <w:rFonts w:asciiTheme="majorHAnsi" w:hAnsiTheme="majorHAnsi" w:cstheme="majorHAnsi"/>
          <w:sz w:val="16"/>
          <w:szCs w:val="16"/>
          <w:lang w:val="ro-MD"/>
        </w:rPr>
      </w:pPr>
      <w:r w:rsidRPr="001808E7">
        <w:rPr>
          <w:rStyle w:val="FootnoteReference"/>
          <w:rFonts w:asciiTheme="majorHAnsi" w:hAnsiTheme="majorHAnsi" w:cstheme="majorHAnsi"/>
          <w:sz w:val="16"/>
          <w:szCs w:val="16"/>
          <w:lang w:val="ro-MD"/>
        </w:rPr>
        <w:footnoteRef/>
      </w:r>
      <w:r w:rsidRPr="001808E7">
        <w:rPr>
          <w:rFonts w:asciiTheme="majorHAnsi" w:hAnsiTheme="majorHAnsi" w:cstheme="majorHAnsi"/>
          <w:sz w:val="16"/>
          <w:szCs w:val="16"/>
          <w:lang w:val="ro-MD"/>
        </w:rPr>
        <w:t xml:space="preserve"> Consulatul Republicii Moldova la Odessa (Ucraina), Ambasada Republicii Moldova în E</w:t>
      </w:r>
      <w:r w:rsidR="006E5CF7" w:rsidRPr="001808E7">
        <w:rPr>
          <w:rFonts w:asciiTheme="majorHAnsi" w:hAnsiTheme="majorHAnsi" w:cstheme="majorHAnsi"/>
          <w:sz w:val="16"/>
          <w:szCs w:val="16"/>
          <w:lang w:val="ro-MD"/>
        </w:rPr>
        <w:t xml:space="preserve">stonia, </w:t>
      </w:r>
      <w:r w:rsidRPr="001808E7">
        <w:rPr>
          <w:rFonts w:asciiTheme="majorHAnsi" w:hAnsiTheme="majorHAnsi" w:cstheme="majorHAnsi"/>
          <w:sz w:val="16"/>
          <w:szCs w:val="16"/>
          <w:lang w:val="ro-MD"/>
        </w:rPr>
        <w:t>Ambasada Republicii Moldova în România, Ambasada Republicii Moldova în Ucraina.</w:t>
      </w:r>
    </w:p>
  </w:footnote>
  <w:footnote w:id="15">
    <w:p w14:paraId="5A4CDFA7" w14:textId="63586EA2" w:rsidR="00F93FD8" w:rsidRPr="001808E7" w:rsidRDefault="00F93FD8" w:rsidP="009071B2">
      <w:pPr>
        <w:pStyle w:val="FootnoteText"/>
        <w:spacing w:line="276" w:lineRule="auto"/>
        <w:rPr>
          <w:rFonts w:asciiTheme="majorHAnsi" w:hAnsiTheme="majorHAnsi" w:cstheme="majorHAnsi"/>
          <w:sz w:val="16"/>
          <w:szCs w:val="16"/>
          <w:lang w:val="ro-MD"/>
        </w:rPr>
      </w:pPr>
      <w:r w:rsidRPr="001808E7">
        <w:rPr>
          <w:rStyle w:val="FootnoteReference"/>
          <w:rFonts w:asciiTheme="majorHAnsi" w:hAnsiTheme="majorHAnsi" w:cstheme="majorHAnsi"/>
          <w:sz w:val="16"/>
          <w:szCs w:val="16"/>
          <w:lang w:val="ro-MD"/>
        </w:rPr>
        <w:footnoteRef/>
      </w:r>
      <w:r w:rsidRPr="001808E7">
        <w:rPr>
          <w:rFonts w:asciiTheme="majorHAnsi" w:hAnsiTheme="majorHAnsi" w:cstheme="majorHAnsi"/>
          <w:sz w:val="16"/>
          <w:szCs w:val="16"/>
          <w:lang w:val="ro-MD"/>
        </w:rPr>
        <w:t xml:space="preserve"> Consulatul Republicii Moldova </w:t>
      </w:r>
      <w:r w:rsidR="006E5CF7" w:rsidRPr="001808E7">
        <w:rPr>
          <w:rFonts w:asciiTheme="majorHAnsi" w:hAnsiTheme="majorHAnsi" w:cstheme="majorHAnsi"/>
          <w:sz w:val="16"/>
          <w:szCs w:val="16"/>
          <w:lang w:val="ro-MD"/>
        </w:rPr>
        <w:t>la Odessa (Ucraina),</w:t>
      </w:r>
      <w:r w:rsidRPr="001808E7">
        <w:rPr>
          <w:rFonts w:asciiTheme="majorHAnsi" w:hAnsiTheme="majorHAnsi" w:cstheme="majorHAnsi"/>
          <w:sz w:val="16"/>
          <w:szCs w:val="16"/>
          <w:lang w:val="ro-MD"/>
        </w:rPr>
        <w:t xml:space="preserve"> Ambasada Republicii Moldova în România, Ambasada Republicii Moldova în Ucraina.</w:t>
      </w:r>
    </w:p>
  </w:footnote>
  <w:footnote w:id="16">
    <w:p w14:paraId="0CCDB22B" w14:textId="7EEAF55F" w:rsidR="00BC7CBC" w:rsidRPr="001808E7" w:rsidRDefault="00BC7CBC" w:rsidP="009071B2">
      <w:pPr>
        <w:pStyle w:val="FootnoteText"/>
        <w:spacing w:line="276" w:lineRule="auto"/>
        <w:jc w:val="both"/>
        <w:rPr>
          <w:rFonts w:asciiTheme="majorHAnsi" w:hAnsiTheme="majorHAnsi" w:cstheme="majorHAnsi"/>
          <w:sz w:val="16"/>
          <w:szCs w:val="16"/>
          <w:lang w:val="ro-MD"/>
        </w:rPr>
      </w:pPr>
      <w:r w:rsidRPr="001808E7">
        <w:rPr>
          <w:rStyle w:val="FootnoteReference"/>
          <w:rFonts w:asciiTheme="majorHAnsi" w:hAnsiTheme="majorHAnsi" w:cstheme="majorHAnsi"/>
          <w:sz w:val="16"/>
          <w:szCs w:val="16"/>
          <w:lang w:val="ro-MD"/>
        </w:rPr>
        <w:footnoteRef/>
      </w:r>
      <w:r w:rsidRPr="001808E7">
        <w:rPr>
          <w:rFonts w:asciiTheme="majorHAnsi" w:hAnsiTheme="majorHAnsi" w:cstheme="majorHAnsi"/>
          <w:sz w:val="16"/>
          <w:szCs w:val="16"/>
          <w:lang w:val="ro-MD"/>
        </w:rPr>
        <w:t xml:space="preserve"> Ambasada Republicii Moldova în Republica Elenă, Ambasada Republicii Moldova în Federația Rusă, Ambasada Republicii Moldova în Republica Popular</w:t>
      </w:r>
      <w:r w:rsidR="00CA7866" w:rsidRPr="001808E7">
        <w:rPr>
          <w:rFonts w:asciiTheme="majorHAnsi" w:hAnsiTheme="majorHAnsi" w:cstheme="majorHAnsi"/>
          <w:sz w:val="16"/>
          <w:szCs w:val="16"/>
          <w:lang w:val="ro-MD"/>
        </w:rPr>
        <w:t>ă</w:t>
      </w:r>
      <w:r w:rsidRPr="001808E7">
        <w:rPr>
          <w:rFonts w:asciiTheme="majorHAnsi" w:hAnsiTheme="majorHAnsi" w:cstheme="majorHAnsi"/>
          <w:sz w:val="16"/>
          <w:szCs w:val="16"/>
          <w:lang w:val="ro-MD"/>
        </w:rPr>
        <w:t xml:space="preserve"> Chineză, Ambasada Republicii Moldova în România, Ambasada Republicii Moldova în Republica Estonia, Ambasada Republicii Moldova în Republica Lituania, Ambasada Republicii Moldova în Regatul Spaniei, Ambasada Republicii Moldova în Regatul Suediei.</w:t>
      </w:r>
    </w:p>
  </w:footnote>
  <w:footnote w:id="17">
    <w:p w14:paraId="38D2FC39" w14:textId="26D134E8" w:rsidR="00F03D72" w:rsidRPr="001808E7" w:rsidRDefault="00F03D72" w:rsidP="009071B2">
      <w:pPr>
        <w:pStyle w:val="FootnoteText"/>
        <w:spacing w:line="276" w:lineRule="auto"/>
        <w:jc w:val="both"/>
        <w:rPr>
          <w:rFonts w:asciiTheme="majorHAnsi" w:hAnsiTheme="majorHAnsi" w:cstheme="majorHAnsi"/>
          <w:sz w:val="16"/>
          <w:szCs w:val="16"/>
          <w:lang w:val="ro-MD"/>
        </w:rPr>
      </w:pPr>
      <w:r w:rsidRPr="001808E7">
        <w:rPr>
          <w:rStyle w:val="FootnoteReference"/>
          <w:rFonts w:asciiTheme="majorHAnsi" w:hAnsiTheme="majorHAnsi" w:cstheme="majorHAnsi"/>
          <w:sz w:val="16"/>
          <w:szCs w:val="16"/>
          <w:lang w:val="ro-MD"/>
        </w:rPr>
        <w:footnoteRef/>
      </w:r>
      <w:r w:rsidR="00CA7866" w:rsidRPr="001808E7">
        <w:rPr>
          <w:rFonts w:asciiTheme="majorHAnsi" w:hAnsiTheme="majorHAnsi" w:cstheme="majorHAnsi"/>
          <w:sz w:val="16"/>
          <w:szCs w:val="16"/>
          <w:lang w:val="ro-MD"/>
        </w:rPr>
        <w:t xml:space="preserve"> </w:t>
      </w:r>
      <w:r w:rsidRPr="001808E7">
        <w:rPr>
          <w:rFonts w:asciiTheme="majorHAnsi" w:hAnsiTheme="majorHAnsi" w:cstheme="majorHAnsi"/>
          <w:sz w:val="16"/>
          <w:szCs w:val="16"/>
          <w:lang w:val="ro-MD"/>
        </w:rPr>
        <w:t>Ambasada Republicii Moldova în Austria, Ambasada Republicii Moldova în Federația Rus</w:t>
      </w:r>
      <w:r w:rsidR="00CA7866" w:rsidRPr="001808E7">
        <w:rPr>
          <w:rFonts w:asciiTheme="majorHAnsi" w:hAnsiTheme="majorHAnsi" w:cstheme="majorHAnsi"/>
          <w:sz w:val="16"/>
          <w:szCs w:val="16"/>
          <w:lang w:val="ro-MD"/>
        </w:rPr>
        <w:t>ă</w:t>
      </w:r>
      <w:r w:rsidRPr="001808E7">
        <w:rPr>
          <w:rFonts w:asciiTheme="majorHAnsi" w:hAnsiTheme="majorHAnsi" w:cstheme="majorHAnsi"/>
          <w:sz w:val="16"/>
          <w:szCs w:val="16"/>
          <w:lang w:val="ro-MD"/>
        </w:rPr>
        <w:t>, Ambasada Republicii Moldova în Republica Italian</w:t>
      </w:r>
      <w:r w:rsidR="00CA7866" w:rsidRPr="001808E7">
        <w:rPr>
          <w:rFonts w:asciiTheme="majorHAnsi" w:hAnsiTheme="majorHAnsi" w:cstheme="majorHAnsi"/>
          <w:sz w:val="16"/>
          <w:szCs w:val="16"/>
          <w:lang w:val="ro-MD"/>
        </w:rPr>
        <w:t>ă</w:t>
      </w:r>
      <w:r w:rsidRPr="001808E7">
        <w:rPr>
          <w:rFonts w:asciiTheme="majorHAnsi" w:hAnsiTheme="majorHAnsi" w:cstheme="majorHAnsi"/>
          <w:sz w:val="16"/>
          <w:szCs w:val="16"/>
          <w:lang w:val="ro-MD"/>
        </w:rPr>
        <w:t>, Ambasada Republicii Moldova în Republica Elen</w:t>
      </w:r>
      <w:r w:rsidR="00CA7866" w:rsidRPr="001808E7">
        <w:rPr>
          <w:rFonts w:asciiTheme="majorHAnsi" w:hAnsiTheme="majorHAnsi" w:cstheme="majorHAnsi"/>
          <w:sz w:val="16"/>
          <w:szCs w:val="16"/>
          <w:lang w:val="ro-MD"/>
        </w:rPr>
        <w:t>ă</w:t>
      </w:r>
      <w:r w:rsidRPr="001808E7">
        <w:rPr>
          <w:rFonts w:asciiTheme="majorHAnsi" w:hAnsiTheme="majorHAnsi" w:cstheme="majorHAnsi"/>
          <w:sz w:val="16"/>
          <w:szCs w:val="16"/>
          <w:lang w:val="ro-MD"/>
        </w:rPr>
        <w:t>, Ambasada Republicii Moldova în Regatul Unit al Marii Britanii și Irlandei de Nord, Ambasada Republicii Moldova în Republica Portughez</w:t>
      </w:r>
      <w:r w:rsidR="00CA7866" w:rsidRPr="001808E7">
        <w:rPr>
          <w:rFonts w:asciiTheme="majorHAnsi" w:hAnsiTheme="majorHAnsi" w:cstheme="majorHAnsi"/>
          <w:sz w:val="16"/>
          <w:szCs w:val="16"/>
          <w:lang w:val="ro-MD"/>
        </w:rPr>
        <w:t>ă</w:t>
      </w:r>
      <w:r w:rsidRPr="001808E7">
        <w:rPr>
          <w:rFonts w:asciiTheme="majorHAnsi" w:hAnsiTheme="majorHAnsi" w:cstheme="majorHAnsi"/>
          <w:sz w:val="16"/>
          <w:szCs w:val="16"/>
          <w:lang w:val="ro-MD"/>
        </w:rPr>
        <w:t>, Ambasada Republicii Moldova în Republica Estonia, Consulatul General al Republicii Moldova în or. Milano (Republica Italia</w:t>
      </w:r>
      <w:r w:rsidR="00CA7866" w:rsidRPr="001808E7">
        <w:rPr>
          <w:rFonts w:asciiTheme="majorHAnsi" w:hAnsiTheme="majorHAnsi" w:cstheme="majorHAnsi"/>
          <w:sz w:val="16"/>
          <w:szCs w:val="16"/>
          <w:lang w:val="ro-MD"/>
        </w:rPr>
        <w:t>nă</w:t>
      </w:r>
      <w:r w:rsidRPr="001808E7">
        <w:rPr>
          <w:rFonts w:asciiTheme="majorHAnsi" w:hAnsiTheme="majorHAnsi" w:cstheme="majorHAnsi"/>
          <w:sz w:val="16"/>
          <w:szCs w:val="16"/>
          <w:lang w:val="ro-MD"/>
        </w:rPr>
        <w:t xml:space="preserve">), Consulatul Republicii Moldova la Odessa (Ucraina), Consulatul General al Republicii Moldova în or. Stambul (Republica Turcia), Consulatul Republicii Moldova în or. Iași (România), Ambasada Republicii Moldova în Canada, Ambasada Republicii Moldova în Irlanda.    </w:t>
      </w:r>
    </w:p>
  </w:footnote>
  <w:footnote w:id="18">
    <w:p w14:paraId="1668F885" w14:textId="77777777" w:rsidR="00D3329B" w:rsidRPr="001808E7" w:rsidRDefault="00D3329B" w:rsidP="009071B2">
      <w:pPr>
        <w:pStyle w:val="FootnoteText"/>
        <w:spacing w:line="276" w:lineRule="auto"/>
        <w:jc w:val="both"/>
        <w:rPr>
          <w:rFonts w:asciiTheme="majorHAnsi" w:hAnsiTheme="majorHAnsi" w:cstheme="majorHAnsi"/>
          <w:sz w:val="16"/>
          <w:szCs w:val="16"/>
          <w:lang w:val="ro-MD"/>
        </w:rPr>
      </w:pPr>
      <w:r w:rsidRPr="001808E7">
        <w:rPr>
          <w:rStyle w:val="FootnoteReference"/>
          <w:rFonts w:asciiTheme="majorHAnsi" w:hAnsiTheme="majorHAnsi" w:cstheme="majorHAnsi"/>
          <w:sz w:val="16"/>
          <w:szCs w:val="16"/>
          <w:lang w:val="ro-MD"/>
        </w:rPr>
        <w:footnoteRef/>
      </w:r>
      <w:r w:rsidRPr="001808E7">
        <w:rPr>
          <w:rFonts w:asciiTheme="majorHAnsi" w:hAnsiTheme="majorHAnsi" w:cstheme="majorHAnsi"/>
          <w:sz w:val="16"/>
          <w:szCs w:val="16"/>
          <w:lang w:val="ro-MD"/>
        </w:rPr>
        <w:t xml:space="preserve"> Regulamentul privind activitatea administrativ-financiară a instituțiilor serviciului diplomatic al Republicii Moldova peste hotare, aprobat prin Hotărârea Guvernului nr. 987 din 11.08.2003.</w:t>
      </w:r>
    </w:p>
  </w:footnote>
  <w:footnote w:id="19">
    <w:p w14:paraId="784C9FF1" w14:textId="77777777" w:rsidR="00D23F9D" w:rsidRPr="001808E7" w:rsidRDefault="00D23F9D" w:rsidP="009071B2">
      <w:pPr>
        <w:pStyle w:val="FootnoteText"/>
        <w:spacing w:line="276" w:lineRule="auto"/>
        <w:jc w:val="both"/>
        <w:rPr>
          <w:rFonts w:asciiTheme="majorHAnsi" w:hAnsiTheme="majorHAnsi" w:cstheme="majorHAnsi"/>
          <w:sz w:val="16"/>
          <w:szCs w:val="16"/>
        </w:rPr>
      </w:pPr>
      <w:r w:rsidRPr="001808E7">
        <w:rPr>
          <w:rStyle w:val="FootnoteReference"/>
          <w:rFonts w:asciiTheme="majorHAnsi" w:hAnsiTheme="majorHAnsi" w:cstheme="majorHAnsi"/>
          <w:sz w:val="16"/>
          <w:szCs w:val="16"/>
        </w:rPr>
        <w:footnoteRef/>
      </w:r>
      <w:r w:rsidRPr="001808E7">
        <w:rPr>
          <w:rFonts w:asciiTheme="majorHAnsi" w:hAnsiTheme="majorHAnsi" w:cstheme="majorHAnsi"/>
          <w:sz w:val="16"/>
          <w:szCs w:val="16"/>
        </w:rPr>
        <w:t xml:space="preserve"> </w:t>
      </w:r>
      <w:r w:rsidRPr="001808E7">
        <w:rPr>
          <w:rFonts w:asciiTheme="majorHAnsi" w:hAnsiTheme="majorHAnsi" w:cstheme="majorHAnsi"/>
          <w:sz w:val="16"/>
          <w:szCs w:val="16"/>
          <w:lang w:val="ro-MD"/>
        </w:rPr>
        <w:t>Ambasada Republicii Moldova în Regatul Belgiei, Misiunea diplomatica a Republicii Moldova pe lângă UE (Bruxelles), Ambasada Republicii Moldova în Ucraina.</w:t>
      </w:r>
      <w:r w:rsidRPr="001808E7">
        <w:rPr>
          <w:rFonts w:asciiTheme="majorHAnsi" w:hAnsiTheme="majorHAnsi" w:cstheme="majorHAnsi"/>
          <w:sz w:val="16"/>
          <w:szCs w:val="16"/>
        </w:rPr>
        <w:t xml:space="preserve">        </w:t>
      </w:r>
    </w:p>
  </w:footnote>
  <w:footnote w:id="20">
    <w:p w14:paraId="6D5CFB68" w14:textId="77777777" w:rsidR="00F91193" w:rsidRPr="001808E7" w:rsidRDefault="00F91193" w:rsidP="009071B2">
      <w:pPr>
        <w:pStyle w:val="FootnoteText"/>
        <w:spacing w:line="276" w:lineRule="auto"/>
        <w:jc w:val="both"/>
        <w:rPr>
          <w:rFonts w:asciiTheme="majorHAnsi" w:hAnsiTheme="majorHAnsi" w:cstheme="majorHAnsi"/>
          <w:sz w:val="16"/>
          <w:szCs w:val="16"/>
          <w:lang w:val="ro-MD"/>
        </w:rPr>
      </w:pPr>
      <w:r w:rsidRPr="001808E7">
        <w:rPr>
          <w:rStyle w:val="FootnoteReference"/>
          <w:rFonts w:asciiTheme="majorHAnsi" w:hAnsiTheme="majorHAnsi" w:cstheme="majorHAnsi"/>
          <w:sz w:val="16"/>
          <w:szCs w:val="16"/>
          <w:lang w:val="ro-MD"/>
        </w:rPr>
        <w:footnoteRef/>
      </w:r>
      <w:r w:rsidRPr="001808E7">
        <w:rPr>
          <w:rFonts w:asciiTheme="majorHAnsi" w:hAnsiTheme="majorHAnsi" w:cstheme="majorHAnsi"/>
          <w:sz w:val="16"/>
          <w:szCs w:val="16"/>
          <w:lang w:val="ro-MD"/>
        </w:rPr>
        <w:t xml:space="preserve"> Ambasada Republicii Moldova în Ungaria, Ambasada Republicii Moldova în Polonia, Ambasada Republicii Moldova în Republica Portugheză, Ambasada Republicii Moldova în Letonia, Ambasada Republicii Moldova în Estonia, Ambasada Republicii Moldova în Republica Lituania, Ambasada Republicii Moldova în Regatul Țărilor de Jos. </w:t>
      </w:r>
    </w:p>
  </w:footnote>
  <w:footnote w:id="21">
    <w:p w14:paraId="2325B0D4" w14:textId="08FCB9A5" w:rsidR="00F91193" w:rsidRPr="001808E7" w:rsidRDefault="00F91193" w:rsidP="009071B2">
      <w:pPr>
        <w:pStyle w:val="FootnoteText"/>
        <w:spacing w:line="276" w:lineRule="auto"/>
        <w:jc w:val="both"/>
        <w:rPr>
          <w:rFonts w:asciiTheme="majorHAnsi" w:hAnsiTheme="majorHAnsi" w:cstheme="majorHAnsi"/>
          <w:sz w:val="16"/>
          <w:szCs w:val="16"/>
          <w:lang w:val="ro-MD"/>
        </w:rPr>
      </w:pPr>
      <w:r w:rsidRPr="001808E7">
        <w:rPr>
          <w:rStyle w:val="FootnoteReference"/>
          <w:rFonts w:asciiTheme="majorHAnsi" w:hAnsiTheme="majorHAnsi" w:cstheme="majorHAnsi"/>
          <w:sz w:val="16"/>
          <w:szCs w:val="16"/>
          <w:lang w:val="ro-MD"/>
        </w:rPr>
        <w:footnoteRef/>
      </w:r>
      <w:r w:rsidRPr="001808E7">
        <w:rPr>
          <w:rFonts w:asciiTheme="majorHAnsi" w:hAnsiTheme="majorHAnsi" w:cstheme="majorHAnsi"/>
          <w:sz w:val="16"/>
          <w:szCs w:val="16"/>
          <w:lang w:val="ro-MD"/>
        </w:rPr>
        <w:t xml:space="preserve"> Ambasada Republicii Moldova în Statele Unite ale Americii, Ambasada Republicii Moldova în Reg</w:t>
      </w:r>
      <w:r w:rsidR="00A37903" w:rsidRPr="001808E7">
        <w:rPr>
          <w:rFonts w:asciiTheme="majorHAnsi" w:hAnsiTheme="majorHAnsi" w:cstheme="majorHAnsi"/>
          <w:sz w:val="16"/>
          <w:szCs w:val="16"/>
          <w:lang w:val="ro-MD"/>
        </w:rPr>
        <w:t>atul Suediei</w:t>
      </w:r>
      <w:r w:rsidRPr="001808E7">
        <w:rPr>
          <w:rFonts w:asciiTheme="majorHAnsi" w:hAnsiTheme="majorHAnsi" w:cstheme="majorHAnsi"/>
          <w:sz w:val="16"/>
          <w:szCs w:val="16"/>
          <w:lang w:val="ro-MD"/>
        </w:rPr>
        <w:t>, Ambasada Republicii Moldova în Irlanda, Consulatul Republicii Moldova la Milano (Republica Italia</w:t>
      </w:r>
      <w:r w:rsidR="00035A2C" w:rsidRPr="001808E7">
        <w:rPr>
          <w:rFonts w:asciiTheme="majorHAnsi" w:hAnsiTheme="majorHAnsi" w:cstheme="majorHAnsi"/>
          <w:sz w:val="16"/>
          <w:szCs w:val="16"/>
          <w:lang w:val="ro-MD"/>
        </w:rPr>
        <w:t>nă</w:t>
      </w:r>
      <w:r w:rsidRPr="001808E7">
        <w:rPr>
          <w:rFonts w:asciiTheme="majorHAnsi" w:hAnsiTheme="majorHAnsi" w:cstheme="majorHAnsi"/>
          <w:sz w:val="16"/>
          <w:szCs w:val="16"/>
          <w:lang w:val="ro-MD"/>
        </w:rPr>
        <w:t>), Ambasada Republicii Moldova în Republica Italia</w:t>
      </w:r>
      <w:r w:rsidR="00035A2C" w:rsidRPr="001808E7">
        <w:rPr>
          <w:rFonts w:asciiTheme="majorHAnsi" w:hAnsiTheme="majorHAnsi" w:cstheme="majorHAnsi"/>
          <w:sz w:val="16"/>
          <w:szCs w:val="16"/>
          <w:lang w:val="ro-MD"/>
        </w:rPr>
        <w:t>nă</w:t>
      </w:r>
      <w:r w:rsidRPr="001808E7">
        <w:rPr>
          <w:rFonts w:asciiTheme="majorHAnsi" w:hAnsiTheme="majorHAnsi" w:cstheme="majorHAnsi"/>
          <w:sz w:val="16"/>
          <w:szCs w:val="16"/>
          <w:lang w:val="ro-MD"/>
        </w:rPr>
        <w:t>, Ambasada Republicii Moldova în Republica Elenă, Ambasada Republicii Moldova în Regatul Spaniei, Reprezentanța Permanentă a Republicii Moldova pe l</w:t>
      </w:r>
      <w:r w:rsidR="00035A2C" w:rsidRPr="001808E7">
        <w:rPr>
          <w:rFonts w:asciiTheme="majorHAnsi" w:hAnsiTheme="majorHAnsi" w:cstheme="majorHAnsi"/>
          <w:sz w:val="16"/>
          <w:szCs w:val="16"/>
          <w:lang w:val="ro-MD"/>
        </w:rPr>
        <w:t>â</w:t>
      </w:r>
      <w:r w:rsidRPr="001808E7">
        <w:rPr>
          <w:rFonts w:asciiTheme="majorHAnsi" w:hAnsiTheme="majorHAnsi" w:cstheme="majorHAnsi"/>
          <w:sz w:val="16"/>
          <w:szCs w:val="16"/>
          <w:lang w:val="ro-MD"/>
        </w:rPr>
        <w:t>ngă ONU</w:t>
      </w:r>
      <w:r w:rsidR="00035A2C" w:rsidRPr="001808E7">
        <w:rPr>
          <w:rFonts w:asciiTheme="majorHAnsi" w:hAnsiTheme="majorHAnsi" w:cstheme="majorHAnsi"/>
          <w:sz w:val="16"/>
          <w:szCs w:val="16"/>
          <w:lang w:val="ro-MD"/>
        </w:rPr>
        <w:t>,</w:t>
      </w:r>
      <w:r w:rsidRPr="001808E7">
        <w:rPr>
          <w:rFonts w:asciiTheme="majorHAnsi" w:hAnsiTheme="majorHAnsi" w:cstheme="majorHAnsi"/>
          <w:sz w:val="16"/>
          <w:szCs w:val="16"/>
          <w:lang w:val="ro-MD"/>
        </w:rPr>
        <w:t xml:space="preserve"> Geneva.</w:t>
      </w:r>
    </w:p>
  </w:footnote>
  <w:footnote w:id="22">
    <w:p w14:paraId="13A0BA2E" w14:textId="77777777" w:rsidR="00BC7CBC" w:rsidRPr="001808E7" w:rsidRDefault="00BC7CBC" w:rsidP="001808E7">
      <w:pPr>
        <w:pStyle w:val="FootnoteText"/>
        <w:spacing w:line="276" w:lineRule="auto"/>
        <w:jc w:val="both"/>
        <w:rPr>
          <w:rFonts w:asciiTheme="majorHAnsi" w:hAnsiTheme="majorHAnsi" w:cstheme="majorHAnsi"/>
          <w:sz w:val="16"/>
          <w:szCs w:val="16"/>
          <w:lang w:val="ro-MD"/>
        </w:rPr>
      </w:pPr>
      <w:r w:rsidRPr="001808E7">
        <w:rPr>
          <w:rStyle w:val="FootnoteReference"/>
          <w:rFonts w:asciiTheme="majorHAnsi" w:hAnsiTheme="majorHAnsi" w:cstheme="majorHAnsi"/>
          <w:sz w:val="16"/>
          <w:szCs w:val="16"/>
          <w:lang w:val="ro-MD"/>
        </w:rPr>
        <w:footnoteRef/>
      </w:r>
      <w:r w:rsidRPr="001808E7">
        <w:rPr>
          <w:rFonts w:asciiTheme="majorHAnsi" w:hAnsiTheme="majorHAnsi" w:cstheme="majorHAnsi"/>
          <w:sz w:val="16"/>
          <w:szCs w:val="16"/>
          <w:lang w:val="ro-MD"/>
        </w:rPr>
        <w:t xml:space="preserve"> Pct. 44 din Regulamentul privind activitatea administrativ-financiară a instituțiilor serviciului diplomatic al Republicii Moldova peste hotare, aprobat prin Hotărârea Guvernului nr. 987 din 11.08.2003.</w:t>
      </w:r>
    </w:p>
  </w:footnote>
  <w:footnote w:id="23">
    <w:p w14:paraId="5EAA1E6B" w14:textId="02CD8782" w:rsidR="00F971E5" w:rsidRPr="001808E7" w:rsidRDefault="00F971E5" w:rsidP="001808E7">
      <w:pPr>
        <w:pStyle w:val="FootnoteText"/>
        <w:spacing w:line="276" w:lineRule="auto"/>
        <w:jc w:val="both"/>
        <w:rPr>
          <w:rFonts w:asciiTheme="majorHAnsi" w:hAnsiTheme="majorHAnsi" w:cstheme="majorHAnsi"/>
          <w:sz w:val="16"/>
          <w:szCs w:val="16"/>
          <w:lang w:val="ro-MD"/>
        </w:rPr>
      </w:pPr>
      <w:r w:rsidRPr="001808E7">
        <w:rPr>
          <w:rStyle w:val="FootnoteReference"/>
          <w:rFonts w:asciiTheme="majorHAnsi" w:hAnsiTheme="majorHAnsi" w:cstheme="majorHAnsi"/>
          <w:sz w:val="16"/>
          <w:szCs w:val="16"/>
          <w:lang w:val="ro-MD"/>
        </w:rPr>
        <w:footnoteRef/>
      </w:r>
      <w:r w:rsidR="00035A2C" w:rsidRPr="001808E7">
        <w:rPr>
          <w:rFonts w:asciiTheme="majorHAnsi" w:hAnsiTheme="majorHAnsi" w:cstheme="majorHAnsi"/>
          <w:sz w:val="16"/>
          <w:szCs w:val="16"/>
          <w:lang w:val="ro-MD"/>
        </w:rPr>
        <w:t xml:space="preserve"> </w:t>
      </w:r>
      <w:r w:rsidRPr="001808E7">
        <w:rPr>
          <w:rFonts w:asciiTheme="majorHAnsi" w:hAnsiTheme="majorHAnsi" w:cstheme="majorHAnsi"/>
          <w:sz w:val="16"/>
          <w:szCs w:val="16"/>
          <w:lang w:val="ro-MD"/>
        </w:rPr>
        <w:t>Ambasada Republicii Moldova în Statele Unite ale Americii, Ambasada Republicii Moldova în Republica Elenă, Reprezentanța Permanentă a Republicii Moldova pe lângă ONU</w:t>
      </w:r>
      <w:r w:rsidR="00C73079" w:rsidRPr="001808E7">
        <w:rPr>
          <w:rFonts w:asciiTheme="majorHAnsi" w:hAnsiTheme="majorHAnsi" w:cstheme="majorHAnsi"/>
          <w:sz w:val="16"/>
          <w:szCs w:val="16"/>
          <w:lang w:val="ro-MD"/>
        </w:rPr>
        <w:t xml:space="preserve"> (</w:t>
      </w:r>
      <w:r w:rsidRPr="001808E7">
        <w:rPr>
          <w:rFonts w:asciiTheme="majorHAnsi" w:hAnsiTheme="majorHAnsi" w:cstheme="majorHAnsi"/>
          <w:sz w:val="16"/>
          <w:szCs w:val="16"/>
          <w:lang w:val="ro-MD"/>
        </w:rPr>
        <w:t>Geneva</w:t>
      </w:r>
      <w:r w:rsidR="00C73079" w:rsidRPr="001808E7">
        <w:rPr>
          <w:rFonts w:asciiTheme="majorHAnsi" w:hAnsiTheme="majorHAnsi" w:cstheme="majorHAnsi"/>
          <w:sz w:val="16"/>
          <w:szCs w:val="16"/>
          <w:lang w:val="ro-MD"/>
        </w:rPr>
        <w:t>)</w:t>
      </w:r>
      <w:r w:rsidRPr="001808E7">
        <w:rPr>
          <w:rFonts w:asciiTheme="majorHAnsi" w:hAnsiTheme="majorHAnsi" w:cstheme="majorHAnsi"/>
          <w:sz w:val="16"/>
          <w:szCs w:val="16"/>
          <w:lang w:val="ro-MD"/>
        </w:rPr>
        <w:t>, Ambasada Republicii Moldova în Republica Italiană, Ambasada Republicii Moldova în Irlanda, Ambasada Republicii Moldova în Canada, Misiunea diplomatica a R</w:t>
      </w:r>
      <w:r w:rsidR="00035A2C" w:rsidRPr="001808E7">
        <w:rPr>
          <w:rFonts w:asciiTheme="majorHAnsi" w:hAnsiTheme="majorHAnsi" w:cstheme="majorHAnsi"/>
          <w:sz w:val="16"/>
          <w:szCs w:val="16"/>
          <w:lang w:val="ro-MD"/>
        </w:rPr>
        <w:t xml:space="preserve">epublicii </w:t>
      </w:r>
      <w:r w:rsidRPr="001808E7">
        <w:rPr>
          <w:rFonts w:asciiTheme="majorHAnsi" w:hAnsiTheme="majorHAnsi" w:cstheme="majorHAnsi"/>
          <w:sz w:val="16"/>
          <w:szCs w:val="16"/>
          <w:lang w:val="ro-MD"/>
        </w:rPr>
        <w:t>M</w:t>
      </w:r>
      <w:r w:rsidR="00035A2C" w:rsidRPr="001808E7">
        <w:rPr>
          <w:rFonts w:asciiTheme="majorHAnsi" w:hAnsiTheme="majorHAnsi" w:cstheme="majorHAnsi"/>
          <w:sz w:val="16"/>
          <w:szCs w:val="16"/>
          <w:lang w:val="ro-MD"/>
        </w:rPr>
        <w:t>oldova</w:t>
      </w:r>
      <w:r w:rsidRPr="001808E7">
        <w:rPr>
          <w:rFonts w:asciiTheme="majorHAnsi" w:hAnsiTheme="majorHAnsi" w:cstheme="majorHAnsi"/>
          <w:sz w:val="16"/>
          <w:szCs w:val="16"/>
          <w:lang w:val="ro-MD"/>
        </w:rPr>
        <w:t xml:space="preserve"> pe lângă UE (Bruxelles)</w:t>
      </w:r>
      <w:r w:rsidR="00035A2C" w:rsidRPr="001808E7">
        <w:rPr>
          <w:rFonts w:asciiTheme="majorHAnsi" w:hAnsiTheme="majorHAnsi" w:cstheme="majorHAnsi"/>
          <w:sz w:val="16"/>
          <w:szCs w:val="16"/>
          <w:lang w:val="ro-MD"/>
        </w:rPr>
        <w:t>.</w:t>
      </w:r>
      <w:r w:rsidRPr="001808E7">
        <w:rPr>
          <w:rFonts w:asciiTheme="majorHAnsi" w:hAnsiTheme="majorHAnsi" w:cstheme="majorHAnsi"/>
          <w:sz w:val="16"/>
          <w:szCs w:val="16"/>
          <w:lang w:val="ro-MD"/>
        </w:rPr>
        <w:t xml:space="preserve">       </w:t>
      </w:r>
    </w:p>
  </w:footnote>
  <w:footnote w:id="24">
    <w:p w14:paraId="3F5DE017" w14:textId="50E81F6D" w:rsidR="00F971E5" w:rsidRPr="001808E7" w:rsidRDefault="00F971E5" w:rsidP="001808E7">
      <w:pPr>
        <w:pStyle w:val="FootnoteText"/>
        <w:spacing w:line="276" w:lineRule="auto"/>
        <w:jc w:val="both"/>
        <w:rPr>
          <w:rFonts w:asciiTheme="majorHAnsi" w:hAnsiTheme="majorHAnsi" w:cstheme="majorHAnsi"/>
          <w:sz w:val="16"/>
          <w:szCs w:val="16"/>
          <w:lang w:val="ro-MD"/>
        </w:rPr>
      </w:pPr>
      <w:r w:rsidRPr="001808E7">
        <w:rPr>
          <w:rStyle w:val="FootnoteReference"/>
          <w:rFonts w:asciiTheme="majorHAnsi" w:hAnsiTheme="majorHAnsi" w:cstheme="majorHAnsi"/>
          <w:sz w:val="16"/>
          <w:szCs w:val="16"/>
          <w:lang w:val="ro-MD"/>
        </w:rPr>
        <w:footnoteRef/>
      </w:r>
      <w:r w:rsidRPr="001808E7">
        <w:rPr>
          <w:rFonts w:asciiTheme="majorHAnsi" w:hAnsiTheme="majorHAnsi" w:cstheme="majorHAnsi"/>
          <w:sz w:val="16"/>
          <w:szCs w:val="16"/>
          <w:lang w:val="ro-MD"/>
        </w:rPr>
        <w:t xml:space="preserve"> Ambasada Republicii Moldova în Republica Italiană, Ambasada Republicii Moldova în Irlanda, Ambasada Republicii Moldova în Canada,  Misiunea diplomatica a R</w:t>
      </w:r>
      <w:r w:rsidR="002B2710" w:rsidRPr="001808E7">
        <w:rPr>
          <w:rFonts w:asciiTheme="majorHAnsi" w:hAnsiTheme="majorHAnsi" w:cstheme="majorHAnsi"/>
          <w:sz w:val="16"/>
          <w:szCs w:val="16"/>
          <w:lang w:val="ro-MD"/>
        </w:rPr>
        <w:t xml:space="preserve">epublicii </w:t>
      </w:r>
      <w:r w:rsidRPr="001808E7">
        <w:rPr>
          <w:rFonts w:asciiTheme="majorHAnsi" w:hAnsiTheme="majorHAnsi" w:cstheme="majorHAnsi"/>
          <w:sz w:val="16"/>
          <w:szCs w:val="16"/>
          <w:lang w:val="ro-MD"/>
        </w:rPr>
        <w:t>M</w:t>
      </w:r>
      <w:r w:rsidR="002B2710" w:rsidRPr="001808E7">
        <w:rPr>
          <w:rFonts w:asciiTheme="majorHAnsi" w:hAnsiTheme="majorHAnsi" w:cstheme="majorHAnsi"/>
          <w:sz w:val="16"/>
          <w:szCs w:val="16"/>
          <w:lang w:val="ro-MD"/>
        </w:rPr>
        <w:t>oldova</w:t>
      </w:r>
      <w:r w:rsidRPr="001808E7">
        <w:rPr>
          <w:rFonts w:asciiTheme="majorHAnsi" w:hAnsiTheme="majorHAnsi" w:cstheme="majorHAnsi"/>
          <w:sz w:val="16"/>
          <w:szCs w:val="16"/>
          <w:lang w:val="ro-MD"/>
        </w:rPr>
        <w:t xml:space="preserve"> pe lângă UE (Bruxelles)</w:t>
      </w:r>
      <w:r w:rsidR="002B2710" w:rsidRPr="001808E7">
        <w:rPr>
          <w:rFonts w:asciiTheme="majorHAnsi" w:hAnsiTheme="majorHAnsi" w:cstheme="majorHAnsi"/>
          <w:sz w:val="16"/>
          <w:szCs w:val="16"/>
          <w:lang w:val="ro-MD"/>
        </w:rPr>
        <w:t>.</w:t>
      </w:r>
      <w:r w:rsidRPr="001808E7">
        <w:rPr>
          <w:rFonts w:asciiTheme="majorHAnsi" w:hAnsiTheme="majorHAnsi" w:cstheme="majorHAnsi"/>
          <w:sz w:val="16"/>
          <w:szCs w:val="16"/>
          <w:lang w:val="ro-MD"/>
        </w:rPr>
        <w:t xml:space="preserve">       </w:t>
      </w:r>
    </w:p>
  </w:footnote>
  <w:footnote w:id="25">
    <w:p w14:paraId="3611F067" w14:textId="4599A8A6" w:rsidR="004A70F7" w:rsidRPr="001808E7" w:rsidRDefault="004A70F7" w:rsidP="001808E7">
      <w:pPr>
        <w:pStyle w:val="FootnoteText"/>
        <w:spacing w:line="276" w:lineRule="auto"/>
        <w:jc w:val="both"/>
        <w:rPr>
          <w:rFonts w:asciiTheme="majorHAnsi" w:hAnsiTheme="majorHAnsi" w:cstheme="majorHAnsi"/>
          <w:sz w:val="16"/>
          <w:szCs w:val="16"/>
          <w:lang w:val="ro-MD"/>
        </w:rPr>
      </w:pPr>
      <w:r w:rsidRPr="001808E7">
        <w:rPr>
          <w:rStyle w:val="FootnoteReference"/>
          <w:rFonts w:asciiTheme="majorHAnsi" w:hAnsiTheme="majorHAnsi" w:cstheme="majorHAnsi"/>
          <w:sz w:val="16"/>
          <w:szCs w:val="16"/>
          <w:lang w:val="ro-MD"/>
        </w:rPr>
        <w:footnoteRef/>
      </w:r>
      <w:r w:rsidR="002B2710" w:rsidRPr="001808E7">
        <w:rPr>
          <w:rFonts w:asciiTheme="majorHAnsi" w:hAnsiTheme="majorHAnsi" w:cstheme="majorHAnsi"/>
          <w:sz w:val="16"/>
          <w:szCs w:val="16"/>
          <w:lang w:val="ro-MD"/>
        </w:rPr>
        <w:t xml:space="preserve"> </w:t>
      </w:r>
      <w:r w:rsidRPr="001808E7">
        <w:rPr>
          <w:rFonts w:asciiTheme="majorHAnsi" w:hAnsiTheme="majorHAnsi" w:cstheme="majorHAnsi"/>
          <w:sz w:val="16"/>
          <w:szCs w:val="16"/>
          <w:lang w:val="ro-MD"/>
        </w:rPr>
        <w:t>Legea nr. 273-XIII  din  09.11.1994 privind actele de identitate din sistemul național de pașapoarte.</w:t>
      </w:r>
    </w:p>
  </w:footnote>
  <w:footnote w:id="26">
    <w:p w14:paraId="694063E6" w14:textId="5F4AC07E" w:rsidR="008B04B3" w:rsidRPr="001808E7" w:rsidRDefault="008B04B3" w:rsidP="001808E7">
      <w:pPr>
        <w:pStyle w:val="FootnoteText"/>
        <w:spacing w:line="276" w:lineRule="auto"/>
        <w:jc w:val="both"/>
        <w:rPr>
          <w:rFonts w:asciiTheme="majorHAnsi" w:hAnsiTheme="majorHAnsi" w:cstheme="majorHAnsi"/>
          <w:sz w:val="16"/>
          <w:szCs w:val="16"/>
          <w:lang w:val="ro-MD"/>
        </w:rPr>
      </w:pPr>
      <w:r w:rsidRPr="001808E7">
        <w:rPr>
          <w:rStyle w:val="FootnoteReference"/>
          <w:rFonts w:asciiTheme="majorHAnsi" w:hAnsiTheme="majorHAnsi" w:cstheme="majorHAnsi"/>
          <w:sz w:val="16"/>
          <w:szCs w:val="16"/>
          <w:lang w:val="ro-MD"/>
        </w:rPr>
        <w:footnoteRef/>
      </w:r>
      <w:r w:rsidRPr="001808E7">
        <w:rPr>
          <w:rFonts w:asciiTheme="majorHAnsi" w:hAnsiTheme="majorHAnsi" w:cstheme="majorHAnsi"/>
          <w:sz w:val="16"/>
          <w:szCs w:val="16"/>
          <w:lang w:val="ro-MD"/>
        </w:rPr>
        <w:t xml:space="preserve"> Hotărârea Guvernului nr. 966 din 22.12.2020 </w:t>
      </w:r>
      <w:r w:rsidR="002B2710" w:rsidRPr="001808E7">
        <w:rPr>
          <w:rFonts w:asciiTheme="majorHAnsi" w:hAnsiTheme="majorHAnsi" w:cstheme="majorHAnsi"/>
          <w:sz w:val="16"/>
          <w:szCs w:val="16"/>
          <w:lang w:val="ro-MD"/>
        </w:rPr>
        <w:t>„</w:t>
      </w:r>
      <w:r w:rsidRPr="001808E7">
        <w:rPr>
          <w:rFonts w:asciiTheme="majorHAnsi" w:hAnsiTheme="majorHAnsi" w:cstheme="majorHAnsi"/>
          <w:sz w:val="16"/>
          <w:szCs w:val="16"/>
          <w:lang w:val="ro-MD"/>
        </w:rPr>
        <w:t>Cu privire la serviciile prestate de către Agenția Servicii Publice</w:t>
      </w:r>
      <w:r w:rsidR="002B2710" w:rsidRPr="001808E7">
        <w:rPr>
          <w:rFonts w:asciiTheme="majorHAnsi" w:hAnsiTheme="majorHAnsi" w:cstheme="majorHAnsi"/>
          <w:sz w:val="16"/>
          <w:szCs w:val="16"/>
          <w:lang w:val="ro-MD"/>
        </w:rPr>
        <w:t>”.</w:t>
      </w:r>
    </w:p>
  </w:footnote>
  <w:footnote w:id="27">
    <w:p w14:paraId="66456F81" w14:textId="77777777" w:rsidR="00F94936" w:rsidRPr="001808E7" w:rsidRDefault="00F94936" w:rsidP="001808E7">
      <w:pPr>
        <w:pStyle w:val="FootnoteText"/>
        <w:spacing w:line="276" w:lineRule="auto"/>
        <w:jc w:val="both"/>
        <w:rPr>
          <w:rFonts w:asciiTheme="majorHAnsi" w:hAnsiTheme="majorHAnsi" w:cstheme="majorHAnsi"/>
          <w:sz w:val="16"/>
          <w:szCs w:val="16"/>
          <w:lang w:val="ro-MD"/>
        </w:rPr>
      </w:pPr>
      <w:r w:rsidRPr="001808E7">
        <w:rPr>
          <w:rStyle w:val="FootnoteReference"/>
          <w:rFonts w:asciiTheme="majorHAnsi" w:hAnsiTheme="majorHAnsi" w:cstheme="majorHAnsi"/>
          <w:sz w:val="16"/>
          <w:szCs w:val="16"/>
          <w:lang w:val="ro-MD"/>
        </w:rPr>
        <w:footnoteRef/>
      </w:r>
      <w:r w:rsidRPr="001808E7">
        <w:rPr>
          <w:rFonts w:asciiTheme="majorHAnsi" w:hAnsiTheme="majorHAnsi" w:cstheme="majorHAnsi"/>
          <w:sz w:val="16"/>
          <w:szCs w:val="16"/>
          <w:lang w:val="ro-MD"/>
        </w:rPr>
        <w:t xml:space="preserve"> Art.13 alin.(2) din Legea contabilității nr.113-XVI din 27.04.2007.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E1642"/>
    <w:multiLevelType w:val="hybridMultilevel"/>
    <w:tmpl w:val="445AB24C"/>
    <w:lvl w:ilvl="0" w:tplc="AB4030A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073ED5"/>
    <w:multiLevelType w:val="hybridMultilevel"/>
    <w:tmpl w:val="85905F70"/>
    <w:lvl w:ilvl="0" w:tplc="D4EC149C">
      <w:start w:val="1"/>
      <w:numFmt w:val="bullet"/>
      <w:lvlText w:val="•"/>
      <w:lvlJc w:val="left"/>
      <w:pPr>
        <w:tabs>
          <w:tab w:val="num" w:pos="720"/>
        </w:tabs>
        <w:ind w:left="720" w:hanging="360"/>
      </w:pPr>
      <w:rPr>
        <w:rFonts w:ascii="Arial" w:hAnsi="Arial" w:hint="default"/>
      </w:rPr>
    </w:lvl>
    <w:lvl w:ilvl="1" w:tplc="13889894" w:tentative="1">
      <w:start w:val="1"/>
      <w:numFmt w:val="bullet"/>
      <w:lvlText w:val="•"/>
      <w:lvlJc w:val="left"/>
      <w:pPr>
        <w:tabs>
          <w:tab w:val="num" w:pos="1440"/>
        </w:tabs>
        <w:ind w:left="1440" w:hanging="360"/>
      </w:pPr>
      <w:rPr>
        <w:rFonts w:ascii="Arial" w:hAnsi="Arial" w:hint="default"/>
      </w:rPr>
    </w:lvl>
    <w:lvl w:ilvl="2" w:tplc="CF4AEE0A" w:tentative="1">
      <w:start w:val="1"/>
      <w:numFmt w:val="bullet"/>
      <w:lvlText w:val="•"/>
      <w:lvlJc w:val="left"/>
      <w:pPr>
        <w:tabs>
          <w:tab w:val="num" w:pos="2160"/>
        </w:tabs>
        <w:ind w:left="2160" w:hanging="360"/>
      </w:pPr>
      <w:rPr>
        <w:rFonts w:ascii="Arial" w:hAnsi="Arial" w:hint="default"/>
      </w:rPr>
    </w:lvl>
    <w:lvl w:ilvl="3" w:tplc="960CF38C" w:tentative="1">
      <w:start w:val="1"/>
      <w:numFmt w:val="bullet"/>
      <w:lvlText w:val="•"/>
      <w:lvlJc w:val="left"/>
      <w:pPr>
        <w:tabs>
          <w:tab w:val="num" w:pos="2880"/>
        </w:tabs>
        <w:ind w:left="2880" w:hanging="360"/>
      </w:pPr>
      <w:rPr>
        <w:rFonts w:ascii="Arial" w:hAnsi="Arial" w:hint="default"/>
      </w:rPr>
    </w:lvl>
    <w:lvl w:ilvl="4" w:tplc="D27A1082" w:tentative="1">
      <w:start w:val="1"/>
      <w:numFmt w:val="bullet"/>
      <w:lvlText w:val="•"/>
      <w:lvlJc w:val="left"/>
      <w:pPr>
        <w:tabs>
          <w:tab w:val="num" w:pos="3600"/>
        </w:tabs>
        <w:ind w:left="3600" w:hanging="360"/>
      </w:pPr>
      <w:rPr>
        <w:rFonts w:ascii="Arial" w:hAnsi="Arial" w:hint="default"/>
      </w:rPr>
    </w:lvl>
    <w:lvl w:ilvl="5" w:tplc="935CAF46" w:tentative="1">
      <w:start w:val="1"/>
      <w:numFmt w:val="bullet"/>
      <w:lvlText w:val="•"/>
      <w:lvlJc w:val="left"/>
      <w:pPr>
        <w:tabs>
          <w:tab w:val="num" w:pos="4320"/>
        </w:tabs>
        <w:ind w:left="4320" w:hanging="360"/>
      </w:pPr>
      <w:rPr>
        <w:rFonts w:ascii="Arial" w:hAnsi="Arial" w:hint="default"/>
      </w:rPr>
    </w:lvl>
    <w:lvl w:ilvl="6" w:tplc="B9EAB964" w:tentative="1">
      <w:start w:val="1"/>
      <w:numFmt w:val="bullet"/>
      <w:lvlText w:val="•"/>
      <w:lvlJc w:val="left"/>
      <w:pPr>
        <w:tabs>
          <w:tab w:val="num" w:pos="5040"/>
        </w:tabs>
        <w:ind w:left="5040" w:hanging="360"/>
      </w:pPr>
      <w:rPr>
        <w:rFonts w:ascii="Arial" w:hAnsi="Arial" w:hint="default"/>
      </w:rPr>
    </w:lvl>
    <w:lvl w:ilvl="7" w:tplc="AB463C5A" w:tentative="1">
      <w:start w:val="1"/>
      <w:numFmt w:val="bullet"/>
      <w:lvlText w:val="•"/>
      <w:lvlJc w:val="left"/>
      <w:pPr>
        <w:tabs>
          <w:tab w:val="num" w:pos="5760"/>
        </w:tabs>
        <w:ind w:left="5760" w:hanging="360"/>
      </w:pPr>
      <w:rPr>
        <w:rFonts w:ascii="Arial" w:hAnsi="Arial" w:hint="default"/>
      </w:rPr>
    </w:lvl>
    <w:lvl w:ilvl="8" w:tplc="96E2EF5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86C667C"/>
    <w:multiLevelType w:val="multilevel"/>
    <w:tmpl w:val="C44AE3D0"/>
    <w:lvl w:ilvl="0">
      <w:start w:val="1"/>
      <w:numFmt w:val="upperRoman"/>
      <w:lvlText w:val="%1."/>
      <w:lvlJc w:val="left"/>
      <w:pPr>
        <w:ind w:left="1080" w:hanging="720"/>
      </w:pPr>
      <w:rPr>
        <w:rFonts w:hint="default"/>
      </w:rPr>
    </w:lvl>
    <w:lvl w:ilvl="1">
      <w:start w:val="1"/>
      <w:numFmt w:val="decimal"/>
      <w:isLgl/>
      <w:lvlText w:val="%1.%2."/>
      <w:lvlJc w:val="left"/>
      <w:pPr>
        <w:ind w:left="7760" w:hanging="3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 w15:restartNumberingAfterBreak="0">
    <w:nsid w:val="3001470F"/>
    <w:multiLevelType w:val="hybridMultilevel"/>
    <w:tmpl w:val="D06A0CC8"/>
    <w:lvl w:ilvl="0" w:tplc="AB4030A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25355FB"/>
    <w:multiLevelType w:val="multilevel"/>
    <w:tmpl w:val="C44AE3D0"/>
    <w:lvl w:ilvl="0">
      <w:start w:val="1"/>
      <w:numFmt w:val="upperRoman"/>
      <w:lvlText w:val="%1."/>
      <w:lvlJc w:val="left"/>
      <w:pPr>
        <w:ind w:left="1080" w:hanging="720"/>
      </w:pPr>
      <w:rPr>
        <w:rFonts w:hint="default"/>
      </w:rPr>
    </w:lvl>
    <w:lvl w:ilvl="1">
      <w:start w:val="1"/>
      <w:numFmt w:val="decimal"/>
      <w:isLgl/>
      <w:lvlText w:val="%1.%2."/>
      <w:lvlJc w:val="left"/>
      <w:pPr>
        <w:ind w:left="7760" w:hanging="3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36DE1DB3"/>
    <w:multiLevelType w:val="multilevel"/>
    <w:tmpl w:val="1236F080"/>
    <w:lvl w:ilvl="0">
      <w:start w:val="5"/>
      <w:numFmt w:val="decimal"/>
      <w:lvlText w:val="%1."/>
      <w:lvlJc w:val="left"/>
      <w:pPr>
        <w:ind w:left="360" w:hanging="360"/>
      </w:pPr>
      <w:rPr>
        <w:rFonts w:cstheme="majorHAnsi" w:hint="default"/>
      </w:rPr>
    </w:lvl>
    <w:lvl w:ilvl="1">
      <w:start w:val="1"/>
      <w:numFmt w:val="decimal"/>
      <w:lvlText w:val="%1.%2."/>
      <w:lvlJc w:val="left"/>
      <w:pPr>
        <w:ind w:left="360" w:hanging="360"/>
      </w:pPr>
      <w:rPr>
        <w:rFonts w:cstheme="majorHAnsi" w:hint="default"/>
      </w:rPr>
    </w:lvl>
    <w:lvl w:ilvl="2">
      <w:start w:val="1"/>
      <w:numFmt w:val="decimal"/>
      <w:lvlText w:val="%1.%2.%3."/>
      <w:lvlJc w:val="left"/>
      <w:pPr>
        <w:ind w:left="720" w:hanging="720"/>
      </w:pPr>
      <w:rPr>
        <w:rFonts w:cstheme="majorHAnsi" w:hint="default"/>
      </w:rPr>
    </w:lvl>
    <w:lvl w:ilvl="3">
      <w:start w:val="1"/>
      <w:numFmt w:val="decimal"/>
      <w:lvlText w:val="%1.%2.%3.%4."/>
      <w:lvlJc w:val="left"/>
      <w:pPr>
        <w:ind w:left="720" w:hanging="720"/>
      </w:pPr>
      <w:rPr>
        <w:rFonts w:cstheme="majorHAnsi" w:hint="default"/>
      </w:rPr>
    </w:lvl>
    <w:lvl w:ilvl="4">
      <w:start w:val="1"/>
      <w:numFmt w:val="decimal"/>
      <w:lvlText w:val="%1.%2.%3.%4.%5."/>
      <w:lvlJc w:val="left"/>
      <w:pPr>
        <w:ind w:left="1080" w:hanging="1080"/>
      </w:pPr>
      <w:rPr>
        <w:rFonts w:cstheme="majorHAnsi" w:hint="default"/>
      </w:rPr>
    </w:lvl>
    <w:lvl w:ilvl="5">
      <w:start w:val="1"/>
      <w:numFmt w:val="decimal"/>
      <w:lvlText w:val="%1.%2.%3.%4.%5.%6."/>
      <w:lvlJc w:val="left"/>
      <w:pPr>
        <w:ind w:left="1080" w:hanging="1080"/>
      </w:pPr>
      <w:rPr>
        <w:rFonts w:cstheme="majorHAnsi" w:hint="default"/>
      </w:rPr>
    </w:lvl>
    <w:lvl w:ilvl="6">
      <w:start w:val="1"/>
      <w:numFmt w:val="decimal"/>
      <w:lvlText w:val="%1.%2.%3.%4.%5.%6.%7."/>
      <w:lvlJc w:val="left"/>
      <w:pPr>
        <w:ind w:left="1440" w:hanging="1440"/>
      </w:pPr>
      <w:rPr>
        <w:rFonts w:cstheme="majorHAnsi" w:hint="default"/>
      </w:rPr>
    </w:lvl>
    <w:lvl w:ilvl="7">
      <w:start w:val="1"/>
      <w:numFmt w:val="decimal"/>
      <w:lvlText w:val="%1.%2.%3.%4.%5.%6.%7.%8."/>
      <w:lvlJc w:val="left"/>
      <w:pPr>
        <w:ind w:left="1440" w:hanging="1440"/>
      </w:pPr>
      <w:rPr>
        <w:rFonts w:cstheme="majorHAnsi" w:hint="default"/>
      </w:rPr>
    </w:lvl>
    <w:lvl w:ilvl="8">
      <w:start w:val="1"/>
      <w:numFmt w:val="decimal"/>
      <w:lvlText w:val="%1.%2.%3.%4.%5.%6.%7.%8.%9."/>
      <w:lvlJc w:val="left"/>
      <w:pPr>
        <w:ind w:left="1800" w:hanging="1800"/>
      </w:pPr>
      <w:rPr>
        <w:rFonts w:cstheme="majorHAnsi" w:hint="default"/>
      </w:rPr>
    </w:lvl>
  </w:abstractNum>
  <w:abstractNum w:abstractNumId="6" w15:restartNumberingAfterBreak="0">
    <w:nsid w:val="5CD77D80"/>
    <w:multiLevelType w:val="hybridMultilevel"/>
    <w:tmpl w:val="EC2CF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0E6FE1"/>
    <w:multiLevelType w:val="hybridMultilevel"/>
    <w:tmpl w:val="B3EAC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0"/>
  </w:num>
  <w:num w:numId="5">
    <w:abstractNumId w:val="5"/>
  </w:num>
  <w:num w:numId="6">
    <w:abstractNumId w:val="7"/>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996"/>
    <w:rsid w:val="00011124"/>
    <w:rsid w:val="00017221"/>
    <w:rsid w:val="000209FA"/>
    <w:rsid w:val="00035A2C"/>
    <w:rsid w:val="00035A73"/>
    <w:rsid w:val="0004039D"/>
    <w:rsid w:val="00071266"/>
    <w:rsid w:val="0008513E"/>
    <w:rsid w:val="000923D0"/>
    <w:rsid w:val="000A4338"/>
    <w:rsid w:val="000A760F"/>
    <w:rsid w:val="000C7C62"/>
    <w:rsid w:val="000D022D"/>
    <w:rsid w:val="000E3C15"/>
    <w:rsid w:val="000E728D"/>
    <w:rsid w:val="00105810"/>
    <w:rsid w:val="00111010"/>
    <w:rsid w:val="00113B9B"/>
    <w:rsid w:val="0011445B"/>
    <w:rsid w:val="0011515A"/>
    <w:rsid w:val="001225F6"/>
    <w:rsid w:val="00141694"/>
    <w:rsid w:val="0014495D"/>
    <w:rsid w:val="001675C7"/>
    <w:rsid w:val="00171827"/>
    <w:rsid w:val="00174F33"/>
    <w:rsid w:val="001808E7"/>
    <w:rsid w:val="001A28B0"/>
    <w:rsid w:val="001B2917"/>
    <w:rsid w:val="001B465E"/>
    <w:rsid w:val="001B7FDE"/>
    <w:rsid w:val="001C4A0C"/>
    <w:rsid w:val="001D4A4F"/>
    <w:rsid w:val="001D5E60"/>
    <w:rsid w:val="001E532C"/>
    <w:rsid w:val="001F3744"/>
    <w:rsid w:val="002009EF"/>
    <w:rsid w:val="002145D9"/>
    <w:rsid w:val="002154D7"/>
    <w:rsid w:val="002266B8"/>
    <w:rsid w:val="00231547"/>
    <w:rsid w:val="0023546A"/>
    <w:rsid w:val="00255D42"/>
    <w:rsid w:val="00274E5B"/>
    <w:rsid w:val="002858EA"/>
    <w:rsid w:val="00296492"/>
    <w:rsid w:val="0029743B"/>
    <w:rsid w:val="002B1088"/>
    <w:rsid w:val="002B2710"/>
    <w:rsid w:val="002C1276"/>
    <w:rsid w:val="002C4BD3"/>
    <w:rsid w:val="002C6BCC"/>
    <w:rsid w:val="002D205D"/>
    <w:rsid w:val="002D2A60"/>
    <w:rsid w:val="002D2C0F"/>
    <w:rsid w:val="002D3984"/>
    <w:rsid w:val="002E22A3"/>
    <w:rsid w:val="002E4D79"/>
    <w:rsid w:val="002F1AF7"/>
    <w:rsid w:val="002F72E2"/>
    <w:rsid w:val="00322E3B"/>
    <w:rsid w:val="003241F1"/>
    <w:rsid w:val="003251B5"/>
    <w:rsid w:val="0034544A"/>
    <w:rsid w:val="00347C09"/>
    <w:rsid w:val="00350B2C"/>
    <w:rsid w:val="00351779"/>
    <w:rsid w:val="00361CB2"/>
    <w:rsid w:val="00366B78"/>
    <w:rsid w:val="00366D35"/>
    <w:rsid w:val="003707FB"/>
    <w:rsid w:val="00371699"/>
    <w:rsid w:val="003756B4"/>
    <w:rsid w:val="003768B5"/>
    <w:rsid w:val="003835BA"/>
    <w:rsid w:val="00397CE2"/>
    <w:rsid w:val="003A185A"/>
    <w:rsid w:val="003C0248"/>
    <w:rsid w:val="003E403B"/>
    <w:rsid w:val="003E41D9"/>
    <w:rsid w:val="003F140B"/>
    <w:rsid w:val="003F7203"/>
    <w:rsid w:val="00410EB7"/>
    <w:rsid w:val="004328CE"/>
    <w:rsid w:val="00432A02"/>
    <w:rsid w:val="00434512"/>
    <w:rsid w:val="004356DE"/>
    <w:rsid w:val="00463236"/>
    <w:rsid w:val="00471508"/>
    <w:rsid w:val="00472F4F"/>
    <w:rsid w:val="0047304C"/>
    <w:rsid w:val="0048031C"/>
    <w:rsid w:val="00482110"/>
    <w:rsid w:val="00485D66"/>
    <w:rsid w:val="00494E98"/>
    <w:rsid w:val="004A5798"/>
    <w:rsid w:val="004A70F7"/>
    <w:rsid w:val="004B50FB"/>
    <w:rsid w:val="004B5AFD"/>
    <w:rsid w:val="004B6978"/>
    <w:rsid w:val="004C551D"/>
    <w:rsid w:val="004D45F0"/>
    <w:rsid w:val="004E0F34"/>
    <w:rsid w:val="004E6BD6"/>
    <w:rsid w:val="004F2447"/>
    <w:rsid w:val="004F2BCA"/>
    <w:rsid w:val="004F5000"/>
    <w:rsid w:val="00502F35"/>
    <w:rsid w:val="00505D5D"/>
    <w:rsid w:val="0050642D"/>
    <w:rsid w:val="005071E8"/>
    <w:rsid w:val="00512A95"/>
    <w:rsid w:val="0052011D"/>
    <w:rsid w:val="00530C9D"/>
    <w:rsid w:val="005311F4"/>
    <w:rsid w:val="0053333D"/>
    <w:rsid w:val="005451EE"/>
    <w:rsid w:val="0055318C"/>
    <w:rsid w:val="005836AD"/>
    <w:rsid w:val="00593C81"/>
    <w:rsid w:val="005C3024"/>
    <w:rsid w:val="005C5AD9"/>
    <w:rsid w:val="005D3FCE"/>
    <w:rsid w:val="005E3907"/>
    <w:rsid w:val="005E5342"/>
    <w:rsid w:val="005E6D5C"/>
    <w:rsid w:val="005F1B77"/>
    <w:rsid w:val="005F79C6"/>
    <w:rsid w:val="00613C8B"/>
    <w:rsid w:val="00617ACC"/>
    <w:rsid w:val="00620DCF"/>
    <w:rsid w:val="006238C3"/>
    <w:rsid w:val="00625D97"/>
    <w:rsid w:val="00637062"/>
    <w:rsid w:val="0066157C"/>
    <w:rsid w:val="00663595"/>
    <w:rsid w:val="00667A34"/>
    <w:rsid w:val="00674911"/>
    <w:rsid w:val="006836EF"/>
    <w:rsid w:val="006845CC"/>
    <w:rsid w:val="006B0D9C"/>
    <w:rsid w:val="006B1379"/>
    <w:rsid w:val="006B1B80"/>
    <w:rsid w:val="006B5869"/>
    <w:rsid w:val="006D3AA5"/>
    <w:rsid w:val="006D4581"/>
    <w:rsid w:val="006E5CF7"/>
    <w:rsid w:val="006E6BEE"/>
    <w:rsid w:val="007016DC"/>
    <w:rsid w:val="007036A1"/>
    <w:rsid w:val="00703789"/>
    <w:rsid w:val="0071403F"/>
    <w:rsid w:val="0072628B"/>
    <w:rsid w:val="00741EC1"/>
    <w:rsid w:val="00745D4C"/>
    <w:rsid w:val="00761DC3"/>
    <w:rsid w:val="007627DC"/>
    <w:rsid w:val="0077028F"/>
    <w:rsid w:val="007721E0"/>
    <w:rsid w:val="00784D3E"/>
    <w:rsid w:val="0078721B"/>
    <w:rsid w:val="007A58B1"/>
    <w:rsid w:val="007B15C8"/>
    <w:rsid w:val="007C5C11"/>
    <w:rsid w:val="007C5C5D"/>
    <w:rsid w:val="007C7C80"/>
    <w:rsid w:val="007D14D5"/>
    <w:rsid w:val="0080737F"/>
    <w:rsid w:val="00813587"/>
    <w:rsid w:val="0082480F"/>
    <w:rsid w:val="00835631"/>
    <w:rsid w:val="00837167"/>
    <w:rsid w:val="008410FB"/>
    <w:rsid w:val="00852B53"/>
    <w:rsid w:val="0085699A"/>
    <w:rsid w:val="00862261"/>
    <w:rsid w:val="00865C78"/>
    <w:rsid w:val="00866AA5"/>
    <w:rsid w:val="00892A47"/>
    <w:rsid w:val="0089400E"/>
    <w:rsid w:val="008951BC"/>
    <w:rsid w:val="008A7252"/>
    <w:rsid w:val="008A782F"/>
    <w:rsid w:val="008A7DE9"/>
    <w:rsid w:val="008B04B3"/>
    <w:rsid w:val="008B0FF0"/>
    <w:rsid w:val="008C4505"/>
    <w:rsid w:val="008C70BD"/>
    <w:rsid w:val="008D0EA8"/>
    <w:rsid w:val="008D3876"/>
    <w:rsid w:val="008E79BC"/>
    <w:rsid w:val="009057C8"/>
    <w:rsid w:val="009071B2"/>
    <w:rsid w:val="009231B5"/>
    <w:rsid w:val="0093253E"/>
    <w:rsid w:val="00932848"/>
    <w:rsid w:val="00942D26"/>
    <w:rsid w:val="00944C22"/>
    <w:rsid w:val="00955EDF"/>
    <w:rsid w:val="0095604A"/>
    <w:rsid w:val="00966165"/>
    <w:rsid w:val="00982E02"/>
    <w:rsid w:val="00984584"/>
    <w:rsid w:val="009A7A97"/>
    <w:rsid w:val="009B5D91"/>
    <w:rsid w:val="009F2909"/>
    <w:rsid w:val="009F2CAA"/>
    <w:rsid w:val="00A01E18"/>
    <w:rsid w:val="00A122AD"/>
    <w:rsid w:val="00A129CE"/>
    <w:rsid w:val="00A177F1"/>
    <w:rsid w:val="00A312BC"/>
    <w:rsid w:val="00A3459D"/>
    <w:rsid w:val="00A37903"/>
    <w:rsid w:val="00A666AF"/>
    <w:rsid w:val="00A73E0B"/>
    <w:rsid w:val="00A774BA"/>
    <w:rsid w:val="00A817D8"/>
    <w:rsid w:val="00A87D9F"/>
    <w:rsid w:val="00A902BD"/>
    <w:rsid w:val="00A9079E"/>
    <w:rsid w:val="00AA1D0E"/>
    <w:rsid w:val="00AA2117"/>
    <w:rsid w:val="00AB0819"/>
    <w:rsid w:val="00AB578A"/>
    <w:rsid w:val="00AF07FF"/>
    <w:rsid w:val="00AF0B22"/>
    <w:rsid w:val="00AF2E69"/>
    <w:rsid w:val="00AF7D1C"/>
    <w:rsid w:val="00B038BB"/>
    <w:rsid w:val="00B0680C"/>
    <w:rsid w:val="00B12D2F"/>
    <w:rsid w:val="00B344B7"/>
    <w:rsid w:val="00B346B7"/>
    <w:rsid w:val="00B35482"/>
    <w:rsid w:val="00B62996"/>
    <w:rsid w:val="00B71340"/>
    <w:rsid w:val="00B71C48"/>
    <w:rsid w:val="00B85114"/>
    <w:rsid w:val="00B92E7B"/>
    <w:rsid w:val="00BA3295"/>
    <w:rsid w:val="00BB112F"/>
    <w:rsid w:val="00BC3278"/>
    <w:rsid w:val="00BC7CBC"/>
    <w:rsid w:val="00BD518E"/>
    <w:rsid w:val="00BE0A4F"/>
    <w:rsid w:val="00BE1729"/>
    <w:rsid w:val="00BE5FE5"/>
    <w:rsid w:val="00BF5FB5"/>
    <w:rsid w:val="00C04005"/>
    <w:rsid w:val="00C068AB"/>
    <w:rsid w:val="00C32FD2"/>
    <w:rsid w:val="00C358C3"/>
    <w:rsid w:val="00C41280"/>
    <w:rsid w:val="00C45CCD"/>
    <w:rsid w:val="00C45E5C"/>
    <w:rsid w:val="00C601C4"/>
    <w:rsid w:val="00C66D75"/>
    <w:rsid w:val="00C717DF"/>
    <w:rsid w:val="00C73079"/>
    <w:rsid w:val="00C800BB"/>
    <w:rsid w:val="00C8203A"/>
    <w:rsid w:val="00C906EA"/>
    <w:rsid w:val="00C908B4"/>
    <w:rsid w:val="00CA2B6C"/>
    <w:rsid w:val="00CA2D87"/>
    <w:rsid w:val="00CA676F"/>
    <w:rsid w:val="00CA74AB"/>
    <w:rsid w:val="00CA7866"/>
    <w:rsid w:val="00CB5A52"/>
    <w:rsid w:val="00CC1A7F"/>
    <w:rsid w:val="00CC23C3"/>
    <w:rsid w:val="00CD36A8"/>
    <w:rsid w:val="00CD70DD"/>
    <w:rsid w:val="00CD7426"/>
    <w:rsid w:val="00CF1195"/>
    <w:rsid w:val="00CF18A1"/>
    <w:rsid w:val="00D10D9D"/>
    <w:rsid w:val="00D14404"/>
    <w:rsid w:val="00D170D1"/>
    <w:rsid w:val="00D23F9D"/>
    <w:rsid w:val="00D2400B"/>
    <w:rsid w:val="00D3329B"/>
    <w:rsid w:val="00D341AD"/>
    <w:rsid w:val="00D365AB"/>
    <w:rsid w:val="00D42988"/>
    <w:rsid w:val="00D4347C"/>
    <w:rsid w:val="00D45C4C"/>
    <w:rsid w:val="00D5143D"/>
    <w:rsid w:val="00D57D77"/>
    <w:rsid w:val="00D60C17"/>
    <w:rsid w:val="00D64CA4"/>
    <w:rsid w:val="00D73BF0"/>
    <w:rsid w:val="00D75490"/>
    <w:rsid w:val="00D814D1"/>
    <w:rsid w:val="00D93937"/>
    <w:rsid w:val="00D94678"/>
    <w:rsid w:val="00DC24AE"/>
    <w:rsid w:val="00DC7E60"/>
    <w:rsid w:val="00DD0C41"/>
    <w:rsid w:val="00DD3135"/>
    <w:rsid w:val="00DD5453"/>
    <w:rsid w:val="00DD70AC"/>
    <w:rsid w:val="00E03861"/>
    <w:rsid w:val="00E13D59"/>
    <w:rsid w:val="00E34165"/>
    <w:rsid w:val="00E470AA"/>
    <w:rsid w:val="00E512DE"/>
    <w:rsid w:val="00E5749D"/>
    <w:rsid w:val="00E63711"/>
    <w:rsid w:val="00E63A80"/>
    <w:rsid w:val="00EA2423"/>
    <w:rsid w:val="00EB5D5D"/>
    <w:rsid w:val="00EC022A"/>
    <w:rsid w:val="00EC48D5"/>
    <w:rsid w:val="00EE0D4E"/>
    <w:rsid w:val="00EE0DCF"/>
    <w:rsid w:val="00EE6FFB"/>
    <w:rsid w:val="00EF003F"/>
    <w:rsid w:val="00EF378B"/>
    <w:rsid w:val="00F03D72"/>
    <w:rsid w:val="00F123B8"/>
    <w:rsid w:val="00F14EBD"/>
    <w:rsid w:val="00F15DD1"/>
    <w:rsid w:val="00F25CA0"/>
    <w:rsid w:val="00F27944"/>
    <w:rsid w:val="00F44FE6"/>
    <w:rsid w:val="00F52406"/>
    <w:rsid w:val="00F621BA"/>
    <w:rsid w:val="00F65205"/>
    <w:rsid w:val="00F73732"/>
    <w:rsid w:val="00F7488B"/>
    <w:rsid w:val="00F80017"/>
    <w:rsid w:val="00F80C34"/>
    <w:rsid w:val="00F84BC8"/>
    <w:rsid w:val="00F8553B"/>
    <w:rsid w:val="00F8594D"/>
    <w:rsid w:val="00F868BA"/>
    <w:rsid w:val="00F87108"/>
    <w:rsid w:val="00F91193"/>
    <w:rsid w:val="00F92F03"/>
    <w:rsid w:val="00F93FD8"/>
    <w:rsid w:val="00F94936"/>
    <w:rsid w:val="00F971E5"/>
    <w:rsid w:val="00FA0C2D"/>
    <w:rsid w:val="00FA1BE8"/>
    <w:rsid w:val="00FA1ECD"/>
    <w:rsid w:val="00FA4C3C"/>
    <w:rsid w:val="00FA68AF"/>
    <w:rsid w:val="00FA6A0D"/>
    <w:rsid w:val="00FC6B6A"/>
    <w:rsid w:val="00FD0200"/>
    <w:rsid w:val="00FD6799"/>
    <w:rsid w:val="00FD7AD0"/>
    <w:rsid w:val="00FE3E0A"/>
    <w:rsid w:val="00FE6FD7"/>
    <w:rsid w:val="00FF3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B23C5"/>
  <w15:chartTrackingRefBased/>
  <w15:docId w15:val="{EAACA556-7B7F-4221-8762-F8AC9A051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5114"/>
  </w:style>
  <w:style w:type="paragraph" w:styleId="Heading1">
    <w:name w:val="heading 1"/>
    <w:basedOn w:val="Normal"/>
    <w:next w:val="Normal"/>
    <w:link w:val="Heading1Char"/>
    <w:uiPriority w:val="9"/>
    <w:qFormat/>
    <w:rsid w:val="00B85114"/>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semiHidden/>
    <w:unhideWhenUsed/>
    <w:qFormat/>
    <w:rsid w:val="00B85114"/>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B85114"/>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B85114"/>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unhideWhenUsed/>
    <w:qFormat/>
    <w:rsid w:val="00B85114"/>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B85114"/>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B85114"/>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B85114"/>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B85114"/>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1,Scriptoria bullet points,Абзац списка1,Bullets,References,Liste 1,List Paragraph nowy,Numbered List Paragraph,List Paragraph (numbered (a)),Medium Grid 1 - Accent 21,Paragraphe de liste2,Paragraphe de liste1,Dot pt"/>
    <w:basedOn w:val="Normal"/>
    <w:link w:val="ListParagraphChar"/>
    <w:uiPriority w:val="34"/>
    <w:qFormat/>
    <w:rsid w:val="00F94936"/>
    <w:pPr>
      <w:ind w:left="720"/>
      <w:contextualSpacing/>
    </w:pPr>
  </w:style>
  <w:style w:type="character" w:customStyle="1" w:styleId="ListParagraphChar">
    <w:name w:val="List Paragraph Char"/>
    <w:aliases w:val="List Paragraph 1 Char,Scriptoria bullet points Char,Абзац списка1 Char,Bullets Char,References Char,Liste 1 Char,List Paragraph nowy Char,Numbered List Paragraph Char,List Paragraph (numbered (a)) Char,Medium Grid 1 - Accent 21 Char"/>
    <w:link w:val="ListParagraph"/>
    <w:uiPriority w:val="34"/>
    <w:rsid w:val="00F94936"/>
  </w:style>
  <w:style w:type="paragraph" w:styleId="NoSpacing">
    <w:name w:val="No Spacing"/>
    <w:uiPriority w:val="1"/>
    <w:qFormat/>
    <w:rsid w:val="00B85114"/>
    <w:pPr>
      <w:spacing w:after="0" w:line="240" w:lineRule="auto"/>
    </w:pPr>
  </w:style>
  <w:style w:type="paragraph" w:customStyle="1" w:styleId="Default">
    <w:name w:val="Default"/>
    <w:rsid w:val="00F94936"/>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aliases w:val="Char,Знак, Знак, Char,Знак1, Знак1,single space,FOOTNOTES,fn,Footnote Text Char1,Footnote Text Char2 Char,Footnote Text Char1 Char Char,Footnote Text Char2 Char Char Char,Footnote Text Char1 Char Char Char Char,Cha,ft,Fußnote Char Char,A"/>
    <w:basedOn w:val="Normal"/>
    <w:link w:val="FootnoteTextChar"/>
    <w:unhideWhenUsed/>
    <w:qFormat/>
    <w:rsid w:val="00F94936"/>
    <w:pPr>
      <w:spacing w:after="0" w:line="240" w:lineRule="auto"/>
    </w:pPr>
    <w:rPr>
      <w:sz w:val="20"/>
      <w:szCs w:val="20"/>
    </w:rPr>
  </w:style>
  <w:style w:type="character" w:customStyle="1" w:styleId="FootnoteTextChar">
    <w:name w:val="Footnote Text Char"/>
    <w:aliases w:val="Char Char,Знак Char, Знак Char, Char Char,Знак1 Char, Знак1 Char,single space Char,FOOTNOTES Char,fn Char,Footnote Text Char1 Char,Footnote Text Char2 Char Char,Footnote Text Char1 Char Char Char,Cha Char,ft Char,A Char"/>
    <w:basedOn w:val="DefaultParagraphFont"/>
    <w:link w:val="FootnoteText"/>
    <w:rsid w:val="00F94936"/>
    <w:rPr>
      <w:sz w:val="20"/>
      <w:szCs w:val="20"/>
      <w:lang w:val="ro-MD"/>
    </w:rPr>
  </w:style>
  <w:style w:type="paragraph" w:styleId="Footer">
    <w:name w:val="footer"/>
    <w:basedOn w:val="Normal"/>
    <w:link w:val="FooterChar"/>
    <w:uiPriority w:val="99"/>
    <w:unhideWhenUsed/>
    <w:rsid w:val="00F949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936"/>
    <w:rPr>
      <w:lang w:val="ro-MD"/>
    </w:rPr>
  </w:style>
  <w:style w:type="character" w:styleId="Hyperlink">
    <w:name w:val="Hyperlink"/>
    <w:basedOn w:val="DefaultParagraphFont"/>
    <w:uiPriority w:val="99"/>
    <w:unhideWhenUsed/>
    <w:rsid w:val="00F94936"/>
    <w:rPr>
      <w:color w:val="0563C1" w:themeColor="hyperlink"/>
      <w:u w:val="single"/>
    </w:rPr>
  </w:style>
  <w:style w:type="character" w:styleId="FootnoteReference">
    <w:name w:val="footnote reference"/>
    <w:aliases w:val="ftref,Times 10 Point,Exposant 3 Point,Footnote symbol,Footnote reference number,EN Footnote Reference,note TESI,16 Point,Superscript 6 Point,Footnote Text Char2,FOOTNOTES Char1,fn Char1,single space Char1,ft Char1,Ref,BVI fnr,fr"/>
    <w:link w:val="FNRefeCharChar"/>
    <w:uiPriority w:val="99"/>
    <w:unhideWhenUsed/>
    <w:rsid w:val="00F94936"/>
    <w:rPr>
      <w:vertAlign w:val="superscript"/>
    </w:rPr>
  </w:style>
  <w:style w:type="paragraph" w:customStyle="1" w:styleId="FNRefeCharChar">
    <w:name w:val="FNRefe Char Char"/>
    <w:aliases w:val="BVI fnr Char Char, BVI fnr Char Char Char, BVI fnr Car Car Char Char Char,BVI fnr Car Char Char Char, BVI fnr Car Car Car Car Char Char Char Char Char,BVI fnr Char Char Char,BVI fnr Car Car Char Char Char"/>
    <w:basedOn w:val="Normal"/>
    <w:link w:val="FootnoteReference"/>
    <w:uiPriority w:val="99"/>
    <w:qFormat/>
    <w:rsid w:val="00F94936"/>
    <w:pPr>
      <w:spacing w:line="240" w:lineRule="exact"/>
    </w:pPr>
    <w:rPr>
      <w:vertAlign w:val="superscript"/>
    </w:rPr>
  </w:style>
  <w:style w:type="table" w:customStyle="1" w:styleId="TableGrid3">
    <w:name w:val="Table Grid3"/>
    <w:basedOn w:val="TableNormal"/>
    <w:next w:val="TableGrid"/>
    <w:uiPriority w:val="39"/>
    <w:rsid w:val="00F949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949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F72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7203"/>
    <w:rPr>
      <w:rFonts w:ascii="Segoe UI" w:hAnsi="Segoe UI" w:cs="Segoe UI"/>
      <w:sz w:val="18"/>
      <w:szCs w:val="18"/>
      <w:lang w:val="ro-MD"/>
    </w:rPr>
  </w:style>
  <w:style w:type="character" w:customStyle="1" w:styleId="Heading1Char">
    <w:name w:val="Heading 1 Char"/>
    <w:basedOn w:val="DefaultParagraphFont"/>
    <w:link w:val="Heading1"/>
    <w:uiPriority w:val="9"/>
    <w:rsid w:val="00B85114"/>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semiHidden/>
    <w:rsid w:val="00B85114"/>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B85114"/>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B85114"/>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B85114"/>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B85114"/>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B85114"/>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B85114"/>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B85114"/>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B85114"/>
    <w:pPr>
      <w:spacing w:line="240" w:lineRule="auto"/>
    </w:pPr>
    <w:rPr>
      <w:b/>
      <w:bCs/>
      <w:smallCaps/>
      <w:color w:val="595959" w:themeColor="text1" w:themeTint="A6"/>
    </w:rPr>
  </w:style>
  <w:style w:type="paragraph" w:styleId="Title">
    <w:name w:val="Title"/>
    <w:basedOn w:val="Normal"/>
    <w:next w:val="Normal"/>
    <w:link w:val="TitleChar"/>
    <w:uiPriority w:val="10"/>
    <w:qFormat/>
    <w:rsid w:val="00B85114"/>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B85114"/>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B85114"/>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B85114"/>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B85114"/>
    <w:rPr>
      <w:b/>
      <w:bCs/>
    </w:rPr>
  </w:style>
  <w:style w:type="character" w:styleId="Emphasis">
    <w:name w:val="Emphasis"/>
    <w:basedOn w:val="DefaultParagraphFont"/>
    <w:uiPriority w:val="20"/>
    <w:qFormat/>
    <w:rsid w:val="00B85114"/>
    <w:rPr>
      <w:i/>
      <w:iCs/>
    </w:rPr>
  </w:style>
  <w:style w:type="paragraph" w:styleId="Quote">
    <w:name w:val="Quote"/>
    <w:basedOn w:val="Normal"/>
    <w:next w:val="Normal"/>
    <w:link w:val="QuoteChar"/>
    <w:uiPriority w:val="29"/>
    <w:qFormat/>
    <w:rsid w:val="00B85114"/>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B85114"/>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B85114"/>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B85114"/>
    <w:rPr>
      <w:color w:val="404040" w:themeColor="text1" w:themeTint="BF"/>
      <w:sz w:val="32"/>
      <w:szCs w:val="32"/>
    </w:rPr>
  </w:style>
  <w:style w:type="character" w:styleId="SubtleEmphasis">
    <w:name w:val="Subtle Emphasis"/>
    <w:basedOn w:val="DefaultParagraphFont"/>
    <w:uiPriority w:val="19"/>
    <w:qFormat/>
    <w:rsid w:val="00B85114"/>
    <w:rPr>
      <w:i/>
      <w:iCs/>
      <w:color w:val="595959" w:themeColor="text1" w:themeTint="A6"/>
    </w:rPr>
  </w:style>
  <w:style w:type="character" w:styleId="IntenseEmphasis">
    <w:name w:val="Intense Emphasis"/>
    <w:basedOn w:val="DefaultParagraphFont"/>
    <w:uiPriority w:val="21"/>
    <w:qFormat/>
    <w:rsid w:val="00B85114"/>
    <w:rPr>
      <w:b/>
      <w:bCs/>
      <w:i/>
      <w:iCs/>
    </w:rPr>
  </w:style>
  <w:style w:type="character" w:styleId="SubtleReference">
    <w:name w:val="Subtle Reference"/>
    <w:basedOn w:val="DefaultParagraphFont"/>
    <w:uiPriority w:val="31"/>
    <w:qFormat/>
    <w:rsid w:val="00B85114"/>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B85114"/>
    <w:rPr>
      <w:b/>
      <w:bCs/>
      <w:caps w:val="0"/>
      <w:smallCaps/>
      <w:color w:val="auto"/>
      <w:spacing w:val="3"/>
      <w:u w:val="single"/>
    </w:rPr>
  </w:style>
  <w:style w:type="character" w:styleId="BookTitle">
    <w:name w:val="Book Title"/>
    <w:basedOn w:val="DefaultParagraphFont"/>
    <w:uiPriority w:val="33"/>
    <w:qFormat/>
    <w:rsid w:val="00B85114"/>
    <w:rPr>
      <w:b/>
      <w:bCs/>
      <w:smallCaps/>
      <w:spacing w:val="7"/>
    </w:rPr>
  </w:style>
  <w:style w:type="paragraph" w:styleId="TOCHeading">
    <w:name w:val="TOC Heading"/>
    <w:basedOn w:val="Heading1"/>
    <w:next w:val="Normal"/>
    <w:uiPriority w:val="39"/>
    <w:semiHidden/>
    <w:unhideWhenUsed/>
    <w:qFormat/>
    <w:rsid w:val="00B85114"/>
    <w:pPr>
      <w:outlineLvl w:val="9"/>
    </w:pPr>
  </w:style>
  <w:style w:type="table" w:customStyle="1" w:styleId="TableGrid1">
    <w:name w:val="Table Grid1"/>
    <w:basedOn w:val="TableNormal"/>
    <w:next w:val="TableGrid"/>
    <w:uiPriority w:val="39"/>
    <w:rsid w:val="009057C8"/>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2C6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C6BCC"/>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371699"/>
    <w:rPr>
      <w:sz w:val="16"/>
      <w:szCs w:val="16"/>
    </w:rPr>
  </w:style>
  <w:style w:type="paragraph" w:styleId="CommentText">
    <w:name w:val="annotation text"/>
    <w:basedOn w:val="Normal"/>
    <w:link w:val="CommentTextChar"/>
    <w:uiPriority w:val="99"/>
    <w:semiHidden/>
    <w:unhideWhenUsed/>
    <w:rsid w:val="00371699"/>
    <w:pPr>
      <w:spacing w:line="240" w:lineRule="auto"/>
    </w:pPr>
    <w:rPr>
      <w:sz w:val="20"/>
      <w:szCs w:val="20"/>
    </w:rPr>
  </w:style>
  <w:style w:type="character" w:customStyle="1" w:styleId="CommentTextChar">
    <w:name w:val="Comment Text Char"/>
    <w:basedOn w:val="DefaultParagraphFont"/>
    <w:link w:val="CommentText"/>
    <w:uiPriority w:val="99"/>
    <w:semiHidden/>
    <w:rsid w:val="00371699"/>
    <w:rPr>
      <w:sz w:val="20"/>
      <w:szCs w:val="20"/>
    </w:rPr>
  </w:style>
  <w:style w:type="paragraph" w:styleId="CommentSubject">
    <w:name w:val="annotation subject"/>
    <w:basedOn w:val="CommentText"/>
    <w:next w:val="CommentText"/>
    <w:link w:val="CommentSubjectChar"/>
    <w:uiPriority w:val="99"/>
    <w:semiHidden/>
    <w:unhideWhenUsed/>
    <w:rsid w:val="00371699"/>
    <w:rPr>
      <w:b/>
      <w:bCs/>
    </w:rPr>
  </w:style>
  <w:style w:type="character" w:customStyle="1" w:styleId="CommentSubjectChar">
    <w:name w:val="Comment Subject Char"/>
    <w:basedOn w:val="CommentTextChar"/>
    <w:link w:val="CommentSubject"/>
    <w:uiPriority w:val="99"/>
    <w:semiHidden/>
    <w:rsid w:val="00371699"/>
    <w:rPr>
      <w:b/>
      <w:bCs/>
      <w:sz w:val="20"/>
      <w:szCs w:val="20"/>
    </w:rPr>
  </w:style>
  <w:style w:type="character" w:customStyle="1" w:styleId="y2iqfc">
    <w:name w:val="y2iqfc"/>
    <w:basedOn w:val="DefaultParagraphFont"/>
    <w:rsid w:val="00371699"/>
  </w:style>
  <w:style w:type="table" w:customStyle="1" w:styleId="TableGrid5">
    <w:name w:val="Table Grid5"/>
    <w:basedOn w:val="TableNormal"/>
    <w:next w:val="TableGrid"/>
    <w:uiPriority w:val="39"/>
    <w:rsid w:val="00C800B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689180">
      <w:bodyDiv w:val="1"/>
      <w:marLeft w:val="0"/>
      <w:marRight w:val="0"/>
      <w:marTop w:val="0"/>
      <w:marBottom w:val="0"/>
      <w:divBdr>
        <w:top w:val="none" w:sz="0" w:space="0" w:color="auto"/>
        <w:left w:val="none" w:sz="0" w:space="0" w:color="auto"/>
        <w:bottom w:val="none" w:sz="0" w:space="0" w:color="auto"/>
        <w:right w:val="none" w:sz="0" w:space="0" w:color="auto"/>
      </w:divBdr>
    </w:div>
    <w:div w:id="317538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crm.md/activitatea-curtii-de-conturi-1-25" TargetMode="External"/><Relationship Id="rId5" Type="http://schemas.openxmlformats.org/officeDocument/2006/relationships/webSettings" Target="webSettings.xml"/><Relationship Id="rId10" Type="http://schemas.openxmlformats.org/officeDocument/2006/relationships/hyperlink" Target="mailto:ccrm@ccrm.md" TargetMode="External"/><Relationship Id="rId4" Type="http://schemas.openxmlformats.org/officeDocument/2006/relationships/settings" Target="settings.xml"/><Relationship Id="rId9" Type="http://schemas.openxmlformats.org/officeDocument/2006/relationships/hyperlink" Target="http://www.ccrm.m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45A97-C607-4041-A446-25FA3AA17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3421</Words>
  <Characters>19846</Characters>
  <Application>Microsoft Office Word</Application>
  <DocSecurity>4</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Ostafi Svetlana</dc:creator>
  <cp:keywords/>
  <dc:description/>
  <cp:lastModifiedBy>Aliona Gladcaia</cp:lastModifiedBy>
  <cp:revision>2</cp:revision>
  <cp:lastPrinted>2021-06-14T06:37:00Z</cp:lastPrinted>
  <dcterms:created xsi:type="dcterms:W3CDTF">2021-11-17T12:11:00Z</dcterms:created>
  <dcterms:modified xsi:type="dcterms:W3CDTF">2021-11-17T12:11:00Z</dcterms:modified>
</cp:coreProperties>
</file>